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pBdr>
          <w:top w:color="ed7d31" w:space="1"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FAMILIARISATION OF INDEPENDENT DIRECTORS POLICY</w:t>
      </w:r>
    </w:p>
    <w:p w:rsidR="00000000" w:rsidDel="00000000" w:rsidP="00000000" w:rsidRDefault="00000000" w:rsidRPr="00000000" w14:paraId="00000012">
      <w:pPr>
        <w:widowControl w:val="1"/>
        <w:spacing w:line="259" w:lineRule="auto"/>
        <w:jc w:val="cente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3">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4">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1"/>
        <w:numPr>
          <w:ilvl w:val="0"/>
          <w:numId w:val="7"/>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PREAMBLE </w:t>
      </w:r>
    </w:p>
    <w:p w:rsidR="00000000" w:rsidDel="00000000" w:rsidP="00000000" w:rsidRDefault="00000000" w:rsidRPr="00000000" w14:paraId="0000001F">
      <w:pPr>
        <w:widowControl w:val="1"/>
        <w:spacing w:line="259" w:lineRule="auto"/>
        <w:ind w:left="284" w:firstLine="76.00000000000001"/>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20">
      <w:pPr>
        <w:widowControl w:val="1"/>
        <w:numPr>
          <w:ilvl w:val="0"/>
          <w:numId w:val="5"/>
        </w:numPr>
        <w:spacing w:line="259" w:lineRule="auto"/>
        <w:ind w:left="426"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This Policy shall be called the </w:t>
      </w:r>
      <w:r w:rsidDel="00000000" w:rsidR="00000000" w:rsidRPr="00000000">
        <w:rPr>
          <w:rFonts w:ascii="Times New Roman" w:cs="Times New Roman" w:eastAsia="Times New Roman" w:hAnsi="Times New Roman"/>
          <w:b w:val="1"/>
          <w:rtl w:val="0"/>
        </w:rPr>
        <w:t xml:space="preserve">“Policy for Familiarization Programme for Independent Directors of Exxim Routes Limited (formerly known as Exim Routes Private Limited) </w:t>
      </w:r>
      <w:r w:rsidDel="00000000" w:rsidR="00000000" w:rsidRPr="00000000">
        <w:rPr>
          <w:rFonts w:ascii="Times New Roman" w:cs="Times New Roman" w:eastAsia="Times New Roman" w:hAnsi="Times New Roman"/>
          <w:rtl w:val="0"/>
        </w:rPr>
        <w:t xml:space="preserve">(the “Company”). </w:t>
      </w:r>
      <w:r w:rsidDel="00000000" w:rsidR="00000000" w:rsidRPr="00000000">
        <w:rPr>
          <w:rtl w:val="0"/>
        </w:rPr>
      </w:r>
    </w:p>
    <w:p w:rsidR="00000000" w:rsidDel="00000000" w:rsidP="00000000" w:rsidRDefault="00000000" w:rsidRPr="00000000" w14:paraId="00000021">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1"/>
        <w:numPr>
          <w:ilvl w:val="0"/>
          <w:numId w:val="5"/>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Policy is made in compliance with </w:t>
      </w:r>
      <w:r w:rsidDel="00000000" w:rsidR="00000000" w:rsidRPr="00000000">
        <w:rPr>
          <w:rFonts w:ascii="Times New Roman" w:cs="Times New Roman" w:eastAsia="Times New Roman" w:hAnsi="Times New Roman"/>
          <w:b w:val="1"/>
          <w:rtl w:val="0"/>
        </w:rPr>
        <w:t xml:space="preserve">Regulation 25(7)</w:t>
      </w:r>
      <w:r w:rsidDel="00000000" w:rsidR="00000000" w:rsidRPr="00000000">
        <w:rPr>
          <w:rFonts w:ascii="Times New Roman" w:cs="Times New Roman" w:eastAsia="Times New Roman" w:hAnsi="Times New Roman"/>
          <w:rtl w:val="0"/>
        </w:rPr>
        <w:t xml:space="preserve"> of the SEBI (LODR) Regulations, 2015 which stipulates that the Company shall familiarize the Independent Directors with the Company, their roles, rights, responsibilities in the Company, nature of the industry in which the Company operates, business model of the Company, etc., through various programmes.</w:t>
      </w:r>
    </w:p>
    <w:p w:rsidR="00000000" w:rsidDel="00000000" w:rsidP="00000000" w:rsidRDefault="00000000" w:rsidRPr="00000000" w14:paraId="00000023">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1"/>
        <w:numPr>
          <w:ilvl w:val="0"/>
          <w:numId w:val="7"/>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PURPOSE OF THE POLICY</w:t>
      </w:r>
    </w:p>
    <w:p w:rsidR="00000000" w:rsidDel="00000000" w:rsidP="00000000" w:rsidRDefault="00000000" w:rsidRPr="00000000" w14:paraId="00000026">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Policy is made with an objective to adopt an organized programme for orientation and training of Independent Directors at the time of their joining so as to facilitate them to understand the Company – its operation, industry and the environment in which it functions, their roles and responsibilities and to keep informed the directors on a continuing basis on any significant changes therein so as to be in a position to take well-informed and timely decisions.</w:t>
      </w:r>
    </w:p>
    <w:p w:rsidR="00000000" w:rsidDel="00000000" w:rsidP="00000000" w:rsidRDefault="00000000" w:rsidRPr="00000000" w14:paraId="00000028">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1"/>
        <w:numPr>
          <w:ilvl w:val="0"/>
          <w:numId w:val="7"/>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APPLICABILITY </w:t>
      </w:r>
    </w:p>
    <w:p w:rsidR="00000000" w:rsidDel="00000000" w:rsidP="00000000" w:rsidRDefault="00000000" w:rsidRPr="00000000" w14:paraId="0000002B">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above Programme will be conducted for new and continuing Independent Directors of the Company. Apart from Independent Directors, Non-Executive Directors are also eligible to attend the familiarization programmes.</w:t>
      </w:r>
    </w:p>
    <w:p w:rsidR="00000000" w:rsidDel="00000000" w:rsidP="00000000" w:rsidRDefault="00000000" w:rsidRPr="00000000" w14:paraId="0000002D">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1"/>
        <w:numPr>
          <w:ilvl w:val="0"/>
          <w:numId w:val="7"/>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FAMILIARIZATION PROCESS</w:t>
      </w:r>
    </w:p>
    <w:p w:rsidR="00000000" w:rsidDel="00000000" w:rsidP="00000000" w:rsidRDefault="00000000" w:rsidRPr="00000000" w14:paraId="00000030">
      <w:pPr>
        <w:widowControl w:val="1"/>
        <w:spacing w:line="259" w:lineRule="auto"/>
        <w:ind w:left="720"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1">
      <w:pPr>
        <w:widowControl w:val="1"/>
        <w:numPr>
          <w:ilvl w:val="0"/>
          <w:numId w:val="3"/>
        </w:numPr>
        <w:spacing w:line="259" w:lineRule="auto"/>
        <w:ind w:left="284" w:hanging="36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AT THE TIME OF APPOINTMENT</w:t>
      </w:r>
    </w:p>
    <w:p w:rsidR="00000000" w:rsidDel="00000000" w:rsidP="00000000" w:rsidRDefault="00000000" w:rsidRPr="00000000" w14:paraId="00000032">
      <w:pPr>
        <w:widowControl w:val="1"/>
        <w:spacing w:line="259" w:lineRule="auto"/>
        <w:ind w:left="720"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3">
      <w:pPr>
        <w:widowControl w:val="1"/>
        <w:numPr>
          <w:ilvl w:val="0"/>
          <w:numId w:val="4"/>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familiarisation pack is handed over to the new inductee, which includes the Company’s corporate profile, its vision, mission and value statement, the company’s organisational structure, the Company’s history and milestone, latest annual report, Code of Conduct for Directors and senior management and Code of Conduct for Prevention of Insider Trading along with a summary on do’s and don’ts pertaining to Insider Training. It also includes the details of the nature of industry and the external environment in which the company operates.</w:t>
      </w:r>
    </w:p>
    <w:p w:rsidR="00000000" w:rsidDel="00000000" w:rsidP="00000000" w:rsidRDefault="00000000" w:rsidRPr="00000000" w14:paraId="00000034">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1"/>
        <w:numPr>
          <w:ilvl w:val="0"/>
          <w:numId w:val="4"/>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detailed appointment letter incorporating the role, duties and responsibilities is issued to the Independent Director for his/her acceptance.</w:t>
      </w:r>
    </w:p>
    <w:p w:rsidR="00000000" w:rsidDel="00000000" w:rsidP="00000000" w:rsidRDefault="00000000" w:rsidRPr="00000000" w14:paraId="00000036">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1"/>
        <w:numPr>
          <w:ilvl w:val="0"/>
          <w:numId w:val="4"/>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will also be introduced to Secretarial Head for understanding the shareholding pattern, Board Structure</w:t>
        <w:tab/>
        <w:t xml:space="preserve">Board committees, the Board Committees and their functions, policies applicable to the director, their roles, responsibilities, duties, rights as a director and the laws applicable to the company, their monitoring and compliance process and the Finance Head for understanding the financial and other related aspects of the company.</w:t>
      </w:r>
    </w:p>
    <w:p w:rsidR="00000000" w:rsidDel="00000000" w:rsidP="00000000" w:rsidRDefault="00000000" w:rsidRPr="00000000" w14:paraId="0000003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1"/>
        <w:numPr>
          <w:ilvl w:val="0"/>
          <w:numId w:val="3"/>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REGULAR FAMILIARIZATION </w:t>
      </w:r>
      <w:r w:rsidDel="00000000" w:rsidR="00000000" w:rsidRPr="00000000">
        <w:rPr>
          <w:rtl w:val="0"/>
        </w:rPr>
      </w:r>
    </w:p>
    <w:p w:rsidR="00000000" w:rsidDel="00000000" w:rsidP="00000000" w:rsidRDefault="00000000" w:rsidRPr="00000000" w14:paraId="0000003B">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widowControl w:val="1"/>
        <w:spacing w:line="259"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through its Managing Director / Executive Director / Key Managerial Personnel will conduct programmes / presentations periodically to familiarize the Independent Directors with the strategy, operations and functions of the Company.</w:t>
      </w:r>
    </w:p>
    <w:p w:rsidR="00000000" w:rsidDel="00000000" w:rsidP="00000000" w:rsidRDefault="00000000" w:rsidRPr="00000000" w14:paraId="0000003D">
      <w:pPr>
        <w:widowControl w:val="1"/>
        <w:numPr>
          <w:ilvl w:val="0"/>
          <w:numId w:val="6"/>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programmes /presentations provide an opportunity to the Independent Directors to interact with the Senior Management of the Company and help them to understand the Company’s strategy, business model, operations, service and product offerings, markets, organization structure, finance, human resources, technology, quality, facilities and risk management and such other areas as may arise from time to time.</w:t>
      </w:r>
    </w:p>
    <w:p w:rsidR="00000000" w:rsidDel="00000000" w:rsidP="00000000" w:rsidRDefault="00000000" w:rsidRPr="00000000" w14:paraId="0000003E">
      <w:pPr>
        <w:widowControl w:val="1"/>
        <w:numPr>
          <w:ilvl w:val="0"/>
          <w:numId w:val="6"/>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programmes/presentations also familiarise the Independent Directors with their roles, rights and responsibilities.</w:t>
      </w:r>
    </w:p>
    <w:p w:rsidR="00000000" w:rsidDel="00000000" w:rsidP="00000000" w:rsidRDefault="00000000" w:rsidRPr="00000000" w14:paraId="0000003F">
      <w:pPr>
        <w:widowControl w:val="1"/>
        <w:numPr>
          <w:ilvl w:val="0"/>
          <w:numId w:val="6"/>
        </w:numPr>
        <w:spacing w:line="259" w:lineRule="auto"/>
        <w:ind w:left="851"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new Independent Director comes on the Board of the Company, a meeting will be arranged with the Managing Director &amp; Group CEO, Chief Financial Officer to discuss the functioning of the Board and the nature of the operation of the Company’s business activities.</w:t>
      </w:r>
    </w:p>
    <w:p w:rsidR="00000000" w:rsidDel="00000000" w:rsidP="00000000" w:rsidRDefault="00000000" w:rsidRPr="00000000" w14:paraId="00000040">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1"/>
        <w:numPr>
          <w:ilvl w:val="0"/>
          <w:numId w:val="7"/>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AMENDMENT </w:t>
      </w:r>
    </w:p>
    <w:p w:rsidR="00000000" w:rsidDel="00000000" w:rsidP="00000000" w:rsidRDefault="00000000" w:rsidRPr="00000000" w14:paraId="00000043">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1"/>
        <w:numPr>
          <w:ilvl w:val="0"/>
          <w:numId w:val="1"/>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provisions of this Policy can be amended/ modified by the Board from time to time and all such amendments/ modifications shall take effect from the date stated therein. All Directors and Senior Management Personnel shall be duly informed of such amendments and modifications.</w:t>
      </w:r>
    </w:p>
    <w:p w:rsidR="00000000" w:rsidDel="00000000" w:rsidP="00000000" w:rsidRDefault="00000000" w:rsidRPr="00000000" w14:paraId="00000045">
      <w:pPr>
        <w:widowControl w:val="1"/>
        <w:spacing w:line="259"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1"/>
        <w:numPr>
          <w:ilvl w:val="0"/>
          <w:numId w:val="1"/>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shall upload its familiarization program on its website and a web link for the same shall be provided in the Company’s Annual Report. </w:t>
      </w:r>
    </w:p>
    <w:p w:rsidR="00000000" w:rsidDel="00000000" w:rsidP="00000000" w:rsidRDefault="00000000" w:rsidRPr="00000000" w14:paraId="00000047">
      <w:pPr>
        <w:widowControl w:val="1"/>
        <w:spacing w:line="259" w:lineRule="auto"/>
        <w:ind w:left="42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1"/>
        <w:numPr>
          <w:ilvl w:val="0"/>
          <w:numId w:val="1"/>
        </w:numPr>
        <w:spacing w:line="259" w:lineRule="auto"/>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and when the familiarization program is conducted the same will be disclosed on the website with the following details:</w:t>
      </w:r>
    </w:p>
    <w:p w:rsidR="00000000" w:rsidDel="00000000" w:rsidP="00000000" w:rsidRDefault="00000000" w:rsidRPr="00000000" w14:paraId="00000049">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widowControl w:val="1"/>
        <w:numPr>
          <w:ilvl w:val="0"/>
          <w:numId w:val="2"/>
        </w:numPr>
        <w:spacing w:line="259" w:lineRule="auto"/>
        <w:ind w:left="85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programs attended by independent directors (during the year and on a cumulative basis till date).</w:t>
      </w:r>
    </w:p>
    <w:p w:rsidR="00000000" w:rsidDel="00000000" w:rsidP="00000000" w:rsidRDefault="00000000" w:rsidRPr="00000000" w14:paraId="0000004B">
      <w:pPr>
        <w:widowControl w:val="1"/>
        <w:numPr>
          <w:ilvl w:val="0"/>
          <w:numId w:val="2"/>
        </w:numPr>
        <w:spacing w:line="259" w:lineRule="auto"/>
        <w:ind w:left="85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hours spent by independent directors in such programs (during the year and on a cumulative basis till date).</w:t>
      </w:r>
    </w:p>
    <w:p w:rsidR="00000000" w:rsidDel="00000000" w:rsidP="00000000" w:rsidRDefault="00000000" w:rsidRPr="00000000" w14:paraId="0000004C">
      <w:pPr>
        <w:widowControl w:val="1"/>
        <w:numPr>
          <w:ilvl w:val="0"/>
          <w:numId w:val="2"/>
        </w:numPr>
        <w:spacing w:line="259" w:lineRule="auto"/>
        <w:ind w:left="85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relevant details.</w:t>
      </w:r>
      <w:r w:rsidDel="00000000" w:rsidR="00000000" w:rsidRPr="00000000">
        <w:rPr>
          <w:rFonts w:ascii="Times New Roman" w:cs="Times New Roman" w:eastAsia="Times New Roman" w:hAnsi="Times New Roman"/>
          <w:b w:val="1"/>
          <w:rtl w:val="0"/>
        </w:rPr>
        <w:tab/>
      </w:r>
      <w:r w:rsidDel="00000000" w:rsidR="00000000" w:rsidRPr="00000000">
        <w:rPr>
          <w:rtl w:val="0"/>
        </w:rPr>
      </w:r>
    </w:p>
    <w:p w:rsidR="00000000" w:rsidDel="00000000" w:rsidP="00000000" w:rsidRDefault="00000000" w:rsidRPr="00000000" w14:paraId="0000004D">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1"/>
        <w:numPr>
          <w:ilvl w:val="0"/>
          <w:numId w:val="7"/>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POLICY REVIEW</w:t>
      </w:r>
    </w:p>
    <w:p w:rsidR="00000000" w:rsidDel="00000000" w:rsidP="00000000" w:rsidRDefault="00000000" w:rsidRPr="00000000" w14:paraId="00000050">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widowControl w:val="1"/>
        <w:spacing w:line="259" w:lineRule="auto"/>
        <w:ind w:right="-4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 of any subsequent changes in the provisions of the Act or any other regulations which makes any of the provisions in the policy inconsistent with the Act or SEBI LODR Regulations, then the provisions of the Act or SEBI LODR Regulations would prevail over the policy and the provisions in the policy would be modified in due course to make it consistent with law. </w:t>
      </w:r>
    </w:p>
    <w:p w:rsidR="00000000" w:rsidDel="00000000" w:rsidP="00000000" w:rsidRDefault="00000000" w:rsidRPr="00000000" w14:paraId="00000052">
      <w:pPr>
        <w:widowControl w:val="1"/>
        <w:spacing w:line="259" w:lineRule="auto"/>
        <w:ind w:right="-4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1"/>
        <w:spacing w:line="259" w:lineRule="auto"/>
        <w:ind w:right="-4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shall be reviewed by the Board of directors as and when any changes are to be incorporated in the policy due to change in regulations or as may be felt appropriate by the Committee. Any changes or modification on the policy shall be done with the approval of the Board of Directors only.</w:t>
      </w:r>
    </w:p>
    <w:p w:rsidR="00000000" w:rsidDel="00000000" w:rsidP="00000000" w:rsidRDefault="00000000" w:rsidRPr="00000000" w14:paraId="00000054">
      <w:pPr>
        <w:widowControl w:val="1"/>
        <w:spacing w:line="259" w:lineRule="auto"/>
        <w:ind w:left="-142"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57">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Exim Routes Limited</w:t>
      </w:r>
    </w:p>
    <w:p w:rsidR="00000000" w:rsidDel="00000000" w:rsidP="00000000" w:rsidRDefault="00000000" w:rsidRPr="00000000" w14:paraId="00000058">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966278" cy="714375"/>
            <wp:effectExtent b="0" l="0" r="0" t="0"/>
            <wp:docPr id="212373513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6627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5B">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5C">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DIN: 08126341</w:t>
      </w:r>
    </w:p>
    <w:p w:rsidR="00000000" w:rsidDel="00000000" w:rsidP="00000000" w:rsidRDefault="00000000" w:rsidRPr="00000000" w14:paraId="0000005D">
      <w:pPr>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-45716</wp:posOffset>
          </wp:positionV>
          <wp:extent cx="1675130" cy="830580"/>
          <wp:effectExtent b="0" l="0" r="0" t="0"/>
          <wp:wrapNone/>
          <wp:docPr id="21237351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061">
    <w:pPr>
      <w:spacing w:before="16" w:line="237" w:lineRule="auto"/>
      <w:ind w:left="3402" w:right="141" w:firstLine="0"/>
      <w:rPr>
        <w:rFonts w:ascii="Times New Roman" w:cs="Times New Roman" w:eastAsia="Times New Roman" w:hAnsi="Times New Roman"/>
        <w:color w:val="151616"/>
        <w:sz w:val="20"/>
        <w:szCs w:val="20"/>
      </w:rPr>
    </w:pPr>
    <w:bookmarkStart w:colFirst="0" w:colLast="0" w:name="_heading=h.gjdgxs" w:id="0"/>
    <w:bookmarkEnd w:id="0"/>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062">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5.%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3">
    <w:lvl w:ilvl="0">
      <w:start w:val="1"/>
      <w:numFmt w:val="decimal"/>
      <w:lvlText w:val="4.%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bullet"/>
      <w:lvlText w:val="●"/>
      <w:lvlJc w:val="left"/>
      <w:pPr>
        <w:ind w:left="720" w:hanging="360"/>
      </w:pPr>
      <w:rPr>
        <w:u w:val="none"/>
      </w:rPr>
    </w:lvl>
    <w:lvl w:ilvl="1">
      <w:start w:val="0"/>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decimal"/>
      <w:lvlText w:val="%1.%2"/>
      <w:lvlJc w:val="left"/>
      <w:pPr>
        <w:ind w:left="720" w:hanging="360"/>
      </w:pPr>
      <w:rPr>
        <w:u w:val="none"/>
      </w:rPr>
    </w:lvl>
    <w:lvl w:ilvl="2">
      <w:start w:val="1"/>
      <w:numFmt w:val="decimal"/>
      <w:lvlText w:val="%1.%2.%3"/>
      <w:lvlJc w:val="left"/>
      <w:pPr>
        <w:ind w:left="1080" w:hanging="720"/>
      </w:pPr>
      <w:rPr>
        <w:u w:val="none"/>
      </w:rPr>
    </w:lvl>
    <w:lvl w:ilvl="3">
      <w:start w:val="1"/>
      <w:numFmt w:val="decimal"/>
      <w:lvlText w:val="%1.%2.%3.%4"/>
      <w:lvlJc w:val="left"/>
      <w:pPr>
        <w:ind w:left="1080" w:hanging="720"/>
      </w:pPr>
      <w:rPr>
        <w:u w:val="none"/>
      </w:rPr>
    </w:lvl>
    <w:lvl w:ilvl="4">
      <w:start w:val="1"/>
      <w:numFmt w:val="decimal"/>
      <w:lvlText w:val="%1.%2.%3.%4.%5"/>
      <w:lvlJc w:val="left"/>
      <w:pPr>
        <w:ind w:left="1440" w:hanging="1080"/>
      </w:pPr>
      <w:rPr>
        <w:u w:val="none"/>
      </w:rPr>
    </w:lvl>
    <w:lvl w:ilvl="5">
      <w:start w:val="1"/>
      <w:numFmt w:val="decimal"/>
      <w:lvlText w:val="%1.%2.%3.%4.%5.%6"/>
      <w:lvlJc w:val="left"/>
      <w:pPr>
        <w:ind w:left="1440" w:hanging="1080"/>
      </w:pPr>
      <w:rPr>
        <w:u w:val="none"/>
      </w:rPr>
    </w:lvl>
    <w:lvl w:ilvl="6">
      <w:start w:val="1"/>
      <w:numFmt w:val="decimal"/>
      <w:lvlText w:val="%1.%2.%3.%4.%5.%6.%7"/>
      <w:lvlJc w:val="left"/>
      <w:pPr>
        <w:ind w:left="1800" w:hanging="144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2160" w:hanging="180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ymAaawL2KNGQt/gEsjDJvhPtYA==">CgMxLjAyCGguZ2pkZ3hzOAByITFFeXQ4NWMzS3FnMFdxMzF4VG44ZkFpVXF4QkY5UndaYw==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