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color="ed7d31" w:space="1" w:sz="18" w:val="single"/>
          <w:bottom w:color="ed7d31" w:space="1" w:sz="18" w:val="single"/>
        </w:pBdr>
        <w:spacing w:line="259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72"/>
          <w:szCs w:val="72"/>
          <w:rtl w:val="0"/>
        </w:rPr>
        <w:t xml:space="preserve">DIVIDEND DISTRIBUTION POLICY</w:t>
      </w:r>
    </w:p>
    <w:p w:rsidR="00000000" w:rsidDel="00000000" w:rsidP="00000000" w:rsidRDefault="00000000" w:rsidRPr="00000000" w14:paraId="00000014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EXIM ROUTES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PREAMBLE</w:t>
      </w:r>
    </w:p>
    <w:p w:rsidR="00000000" w:rsidDel="00000000" w:rsidP="00000000" w:rsidRDefault="00000000" w:rsidRPr="00000000" w14:paraId="00000020">
      <w:pPr>
        <w:widowControl w:val="1"/>
        <w:spacing w:line="259" w:lineRule="auto"/>
        <w:ind w:left="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6"/>
        </w:numPr>
        <w:spacing w:after="240" w:before="240" w:line="259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Exim Routes Limited (formerly known as Exim Routes Private Limited) (“the Company”) is committed to delivering value to its shareholders by sharing a portion of its profits through dividends. 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6"/>
        </w:numPr>
        <w:spacing w:after="240" w:before="240" w:line="259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Dividend Distribution Policy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outlines the principles and criteria for determining the distribution of dividends, ensuring compliance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Companies Act,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adherence to good corporate governance practices.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6"/>
        </w:numPr>
        <w:spacing w:after="240" w:before="240" w:line="259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was adopted by the Board of Directors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 May 2025 and shall be effective from that date.</w:t>
      </w:r>
    </w:p>
    <w:p w:rsidR="00000000" w:rsidDel="00000000" w:rsidP="00000000" w:rsidRDefault="00000000" w:rsidRPr="00000000" w14:paraId="00000024">
      <w:pPr>
        <w:widowControl w:val="1"/>
        <w:spacing w:after="0" w:before="0" w:line="25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6">
      <w:pPr>
        <w:widowControl w:val="1"/>
        <w:spacing w:after="240" w:before="240" w:line="25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primary objective of this policy is to establish a framework that balances rewarding shareholders with retaining sufficient profits to support the Company’s future growth and operational needs.</w:t>
      </w:r>
    </w:p>
    <w:p w:rsidR="00000000" w:rsidDel="00000000" w:rsidP="00000000" w:rsidRDefault="00000000" w:rsidRPr="00000000" w14:paraId="00000027">
      <w:pPr>
        <w:widowControl w:val="1"/>
        <w:spacing w:line="259" w:lineRule="auto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SCOPE AND APPLICABILITY</w:t>
      </w:r>
    </w:p>
    <w:p w:rsidR="00000000" w:rsidDel="00000000" w:rsidP="00000000" w:rsidRDefault="00000000" w:rsidRPr="00000000" w14:paraId="00000029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applies to the declaration and distribution of dividends on equity shares issued by Exim Routes Limited.</w:t>
      </w:r>
    </w:p>
    <w:p w:rsidR="00000000" w:rsidDel="00000000" w:rsidP="00000000" w:rsidRDefault="00000000" w:rsidRPr="00000000" w14:paraId="0000002B">
      <w:pPr>
        <w:widowControl w:val="1"/>
        <w:spacing w:line="259" w:lineRule="auto"/>
        <w:ind w:left="14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DEFINITIONS</w:t>
      </w:r>
    </w:p>
    <w:p w:rsidR="00000000" w:rsidDel="00000000" w:rsidP="00000000" w:rsidRDefault="00000000" w:rsidRPr="00000000" w14:paraId="0000002D">
      <w:pPr>
        <w:widowControl w:val="1"/>
        <w:spacing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spacing w:after="200" w:before="240" w:line="259" w:lineRule="auto"/>
        <w:ind w:left="45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Dividend: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distribution of profits by the Company to its shareholders in proportion to the amount paid-up on the shares they hold.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spacing w:after="200" w:before="0" w:line="259" w:lineRule="auto"/>
        <w:ind w:left="45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Interim Dividend: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dividend declared by the Board of Directors between two Annual General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spacing w:after="200" w:before="240" w:line="259" w:lineRule="auto"/>
        <w:ind w:left="45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Final Dividend: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dividend recommended by the Board of Directors and declared at the Annual General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PARAMETERS FOR DECLARATION OF DIVIDEND</w:t>
      </w:r>
    </w:p>
    <w:p w:rsidR="00000000" w:rsidDel="00000000" w:rsidP="00000000" w:rsidRDefault="00000000" w:rsidRPr="00000000" w14:paraId="00000033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shall consider the following parameters before recommending or declaring dividends:</w:t>
      </w:r>
    </w:p>
    <w:p w:rsidR="00000000" w:rsidDel="00000000" w:rsidP="00000000" w:rsidRDefault="00000000" w:rsidRPr="00000000" w14:paraId="00000035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 Financial Parameters: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7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Profitability: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Net profit earned during the financial year and available distributable reserves.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7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Cash Flow: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Availability of adequate cash flow to meet dividend payouts.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200" w:before="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200" w:before="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7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Debt Obligations: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Compliance with debt covenants and repayment schedules.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7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Capital Expenditure: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Planned investments in infrastructure, technology, and other capital expenditures.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 Internal Factors: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4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Earnings Stability: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Consistency and sustainability of the Company’s earnings.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4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Retention for Growth: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Requirement of funds for business expansion and diversification.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4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Past Dividend Trends: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Historical dividend payout ratios and shareholder expectations.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 External Factors: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3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Economic Conditions: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Prevailing macroeconomic environment and market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3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Regulatory Changes: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Impact of amendments in laws and regulations affecting the Company’s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3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Industry Practices: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Dividend distribution norms prevalent in the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after="200" w:before="24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UTILISATION OF RETAINED EARNINGS</w:t>
      </w:r>
    </w:p>
    <w:p w:rsidR="00000000" w:rsidDel="00000000" w:rsidP="00000000" w:rsidRDefault="00000000" w:rsidRPr="00000000" w14:paraId="00000046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retained earnings shall be utilized for: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2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Funding expansion and modernization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2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Strengthening the balance sheet by reducing debt.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2"/>
        </w:numPr>
        <w:spacing w:after="200" w:before="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Investing in research and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2"/>
        </w:numPr>
        <w:spacing w:after="200" w:before="24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contingencies and unforeseen operational exigencies.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MANNER OF DIVIDEND PAYOUT</w:t>
      </w:r>
    </w:p>
    <w:p w:rsidR="00000000" w:rsidDel="00000000" w:rsidP="00000000" w:rsidRDefault="00000000" w:rsidRPr="00000000" w14:paraId="0000004E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Interim Dividend: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Board may declare an interim dividend based on the profits available as per quarterly or half-yearly financial statements.</w:t>
      </w:r>
    </w:p>
    <w:p w:rsidR="00000000" w:rsidDel="00000000" w:rsidP="00000000" w:rsidRDefault="00000000" w:rsidRPr="00000000" w14:paraId="0000004F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Final Dividend: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Board shall recommend the final dividend based on the annual financial results, subject to approval by shareholders at the Annual General Meeting.</w:t>
      </w:r>
    </w:p>
    <w:p w:rsidR="00000000" w:rsidDel="00000000" w:rsidP="00000000" w:rsidRDefault="00000000" w:rsidRPr="00000000" w14:paraId="00000050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DISCLOSURE</w:t>
      </w:r>
    </w:p>
    <w:p w:rsidR="00000000" w:rsidDel="00000000" w:rsidP="00000000" w:rsidRDefault="00000000" w:rsidRPr="00000000" w14:paraId="00000053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shall be disclosed in the Annual Report and on the Company’s official website to ensure transparency.</w:t>
      </w:r>
    </w:p>
    <w:p w:rsidR="00000000" w:rsidDel="00000000" w:rsidP="00000000" w:rsidRDefault="00000000" w:rsidRPr="00000000" w14:paraId="00000055">
      <w:pPr>
        <w:widowControl w:val="1"/>
        <w:spacing w:line="25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5"/>
        </w:numPr>
        <w:pBdr>
          <w:bottom w:color="000000" w:space="1" w:sz="4" w:val="single"/>
        </w:pBdr>
        <w:spacing w:line="259" w:lineRule="auto"/>
        <w:ind w:left="142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AND AMENDMENT TO THE POLICY</w:t>
      </w:r>
    </w:p>
    <w:p w:rsidR="00000000" w:rsidDel="00000000" w:rsidP="00000000" w:rsidRDefault="00000000" w:rsidRPr="00000000" w14:paraId="00000057">
      <w:pPr>
        <w:widowControl w:val="1"/>
        <w:spacing w:line="259" w:lineRule="auto"/>
        <w:ind w:left="-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after="240" w:before="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shall periodically review this policy and make amendments as deemed necessary, subject to applicable laws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 and on Behalf of Board of Directors</w:t>
      </w:r>
    </w:p>
    <w:p w:rsidR="00000000" w:rsidDel="00000000" w:rsidP="00000000" w:rsidRDefault="00000000" w:rsidRPr="00000000" w14:paraId="0000005B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Exim Routes Limited</w:t>
      </w:r>
    </w:p>
    <w:p w:rsidR="00000000" w:rsidDel="00000000" w:rsidP="00000000" w:rsidRDefault="00000000" w:rsidRPr="00000000" w14:paraId="0000005C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966278" cy="714375"/>
            <wp:effectExtent b="0" l="0" r="0" t="0"/>
            <wp:docPr id="21237351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278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Manish Goyal</w:t>
      </w:r>
    </w:p>
    <w:p w:rsidR="00000000" w:rsidDel="00000000" w:rsidP="00000000" w:rsidRDefault="00000000" w:rsidRPr="00000000" w14:paraId="0000005F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CEO &amp; Director</w:t>
      </w:r>
    </w:p>
    <w:p w:rsidR="00000000" w:rsidDel="00000000" w:rsidP="00000000" w:rsidRDefault="00000000" w:rsidRPr="00000000" w14:paraId="00000060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DIN: 08126341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60" w:w="11930" w:orient="portrait"/>
      <w:pgMar w:bottom="280" w:top="700" w:left="1276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1c469c"/>
        <w:sz w:val="44"/>
        <w:szCs w:val="44"/>
        <w:u w:val="single"/>
        <w:shd w:fill="auto" w:val="clear"/>
        <w:vertAlign w:val="baseline"/>
        <w:rtl w:val="0"/>
      </w:rPr>
      <w:t xml:space="preserve">EXIM ROUTES LIMITED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121285</wp:posOffset>
          </wp:positionH>
          <wp:positionV relativeFrom="paragraph">
            <wp:posOffset>-45716</wp:posOffset>
          </wp:positionV>
          <wp:extent cx="1675130" cy="830580"/>
          <wp:effectExtent b="0" l="0" r="0" t="0"/>
          <wp:wrapNone/>
          <wp:docPr id="21237351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5130" cy="830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1" w:line="240" w:lineRule="auto"/>
      <w:ind w:left="2988" w:right="0" w:firstLine="413.999999999999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1616"/>
        <w:sz w:val="24"/>
        <w:szCs w:val="24"/>
        <w:u w:val="none"/>
        <w:shd w:fill="auto" w:val="clear"/>
        <w:vertAlign w:val="baseline"/>
        <w:rtl w:val="0"/>
      </w:rPr>
      <w:t xml:space="preserve">(Formally Known as Exim Routes Private Limited)</w:t>
    </w:r>
  </w:p>
  <w:p w:rsidR="00000000" w:rsidDel="00000000" w:rsidP="00000000" w:rsidRDefault="00000000" w:rsidRPr="00000000" w14:paraId="00000064">
    <w:pPr>
      <w:spacing w:before="16" w:line="237" w:lineRule="auto"/>
      <w:ind w:left="3402" w:right="141" w:firstLine="0"/>
      <w:rPr>
        <w:rFonts w:ascii="Times New Roman" w:cs="Times New Roman" w:eastAsia="Times New Roman" w:hAnsi="Times New Roman"/>
        <w:color w:val="151616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421, 4th Floor, Suncity Success Tower, Sector-65 Golf Course Road Extension, Gurugram-122101, HR (INDIA), Email: cs.er@eximroutes.in</w:t>
    </w:r>
  </w:p>
  <w:p w:rsidR="00000000" w:rsidDel="00000000" w:rsidP="00000000" w:rsidRDefault="00000000" w:rsidRPr="00000000" w14:paraId="00000065">
    <w:pPr>
      <w:spacing w:before="16" w:line="237" w:lineRule="auto"/>
      <w:ind w:left="2880" w:right="-315" w:firstLine="521.9999999999999"/>
      <w:rPr/>
    </w:pPr>
    <w:r w:rsidDel="00000000" w:rsidR="00000000" w:rsidRPr="00000000">
      <w:rPr>
        <w:rFonts w:ascii="Times New Roman" w:cs="Times New Roman" w:eastAsia="Times New Roman" w:hAnsi="Times New Roman"/>
        <w:color w:val="151616"/>
        <w:sz w:val="20"/>
        <w:szCs w:val="20"/>
        <w:rtl w:val="0"/>
      </w:rPr>
      <w:t xml:space="preserve">GSTIN: 06AAFCE4612E1Z3 CIN: U51909HR2019PLC115525</w:t>
    </w:r>
    <w:r w:rsidDel="00000000" w:rsidR="00000000" w:rsidRPr="00000000">
      <w:rPr/>
      <w:pict>
        <v:shape id="WordPictureWatermark3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3.5pt;height:61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decimal"/>
      <w:lvlText w:val="1.%1"/>
      <w:lvlJc w:val="left"/>
      <w:pPr>
        <w:ind w:left="8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96" w:right="3670"/>
      <w:jc w:val="center"/>
    </w:pPr>
    <w:rPr>
      <w:b w:val="1"/>
      <w:sz w:val="44"/>
      <w:szCs w:val="44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Title">
    <w:name w:val="Title"/>
    <w:basedOn w:val="Normal"/>
    <w:uiPriority w:val="10"/>
    <w:qFormat w:val="1"/>
    <w:pPr>
      <w:ind w:left="3196" w:right="3670"/>
      <w:jc w:val="center"/>
    </w:pPr>
    <w:rPr>
      <w:b w:val="1"/>
      <w:bCs w:val="1"/>
      <w:sz w:val="44"/>
      <w:szCs w:val="44"/>
      <w:u w:color="000000" w:val="single"/>
    </w:rPr>
  </w:style>
  <w:style w:type="paragraph" w:styleId="ListParagraph">
    <w:name w:val="List Paragraph"/>
    <w:basedOn w:val="Normal"/>
    <w:qFormat w:val="1"/>
    <w:pPr>
      <w:spacing w:line="242" w:lineRule="exact"/>
      <w:ind w:left="3584" w:hanging="21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3427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2B34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3427"/>
    <w:rPr>
      <w:rFonts w:ascii="Calibri" w:cs="Calibri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544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4126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5441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643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P1+aniZnEhYIq/aiEEFnNkG5g==">CgMxLjAyCGguZ2pkZ3hzOAByITFXZERwYzk4N0kyeC1jYVF5QkFhVzJwakZEbUlKSWx5Nw==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2025-01-21T10:44:00Z</dcterms:created>
  <dc:creator>M&amp;M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</Properties>
</file>