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88"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6">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7">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8">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9">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A">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B">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C">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D">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E">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F">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0">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1">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2">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3">
      <w:pPr>
        <w:widowControl w:val="1"/>
        <w:pBdr>
          <w:top w:color="ed7d31" w:space="1" w:sz="18" w:val="single"/>
          <w:bottom w:color="ed7d31" w:space="1" w:sz="18" w:val="single"/>
        </w:pBdr>
        <w:spacing w:line="259" w:lineRule="auto"/>
        <w:jc w:val="center"/>
        <w:rPr>
          <w:rFonts w:ascii="Times New Roman" w:cs="Times New Roman" w:eastAsia="Times New Roman" w:hAnsi="Times New Roman"/>
          <w:b w:val="1"/>
          <w:color w:val="002060"/>
          <w:sz w:val="72"/>
          <w:szCs w:val="72"/>
        </w:rPr>
      </w:pPr>
      <w:r w:rsidDel="00000000" w:rsidR="00000000" w:rsidRPr="00000000">
        <w:rPr>
          <w:rFonts w:ascii="Times New Roman" w:cs="Times New Roman" w:eastAsia="Times New Roman" w:hAnsi="Times New Roman"/>
          <w:b w:val="1"/>
          <w:color w:val="002060"/>
          <w:sz w:val="72"/>
          <w:szCs w:val="72"/>
          <w:rtl w:val="0"/>
        </w:rPr>
        <w:t xml:space="preserve">CODE OF CONDUCT FOR INSIDER TRADING</w:t>
      </w:r>
    </w:p>
    <w:p w:rsidR="00000000" w:rsidDel="00000000" w:rsidP="00000000" w:rsidRDefault="00000000" w:rsidRPr="00000000" w14:paraId="00000014">
      <w:pPr>
        <w:widowControl w:val="1"/>
        <w:spacing w:line="259" w:lineRule="auto"/>
        <w:jc w:val="cente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b w:val="1"/>
          <w:color w:val="002060"/>
          <w:sz w:val="32"/>
          <w:szCs w:val="32"/>
          <w:rtl w:val="0"/>
        </w:rPr>
        <w:t xml:space="preserve">EXIM ROUTES LIMITED</w:t>
      </w:r>
      <w:r w:rsidDel="00000000" w:rsidR="00000000" w:rsidRPr="00000000">
        <w:rPr>
          <w:rtl w:val="0"/>
        </w:rPr>
      </w:r>
    </w:p>
    <w:p w:rsidR="00000000" w:rsidDel="00000000" w:rsidP="00000000" w:rsidRDefault="00000000" w:rsidRPr="00000000" w14:paraId="0000001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6">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E">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1"/>
        <w:numPr>
          <w:ilvl w:val="0"/>
          <w:numId w:val="17"/>
        </w:numPr>
        <w:pBdr>
          <w:bottom w:color="000000" w:space="1" w:sz="4" w:val="single"/>
        </w:pBdr>
        <w:spacing w:line="259"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0">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widowControl w:val="1"/>
        <w:numPr>
          <w:ilvl w:val="0"/>
          <w:numId w:val="19"/>
        </w:numPr>
        <w:spacing w:line="276"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Securities and Exchange Board of India (“SEBI”), for protection of investors and to regulate the securities market, had formulated the SEBI (Prohibition of Insider Trading) Regulations, 2015 (“The Regulations”) under the powers conferred on it under the SEBI Act, 1992. These Regulations come into force w.e.f. 15 May 2015, and the same is applicable on to all companies whose shares are listed on Indian Stock Exchanges. </w:t>
      </w:r>
    </w:p>
    <w:p w:rsidR="00000000" w:rsidDel="00000000" w:rsidP="00000000" w:rsidRDefault="00000000" w:rsidRPr="00000000" w14:paraId="00000022">
      <w:pPr>
        <w:widowControl w:val="1"/>
        <w:numPr>
          <w:ilvl w:val="0"/>
          <w:numId w:val="19"/>
        </w:numPr>
        <w:spacing w:line="276"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Regulation 9</w:t>
      </w:r>
      <w:r w:rsidDel="00000000" w:rsidR="00000000" w:rsidRPr="00000000">
        <w:rPr>
          <w:rFonts w:ascii="Times New Roman" w:cs="Times New Roman" w:eastAsia="Times New Roman" w:hAnsi="Times New Roman"/>
          <w:rtl w:val="0"/>
        </w:rPr>
        <w:t xml:space="preserve"> mandate every Listed Company to formulate, code of conduct to regulate, monitor and report trading by its designated persons and immediate relatives of designated persons towards achieving compliance with these regulations, adopting the minimum standards set out in Schedule B to the regulations.</w:t>
      </w:r>
    </w:p>
    <w:p w:rsidR="00000000" w:rsidDel="00000000" w:rsidP="00000000" w:rsidRDefault="00000000" w:rsidRPr="00000000" w14:paraId="00000023">
      <w:pPr>
        <w:widowControl w:val="1"/>
        <w:numPr>
          <w:ilvl w:val="0"/>
          <w:numId w:val="19"/>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Accordingly, the Board has adopted the Code at its meeting held on 19 May 2025, which can be amended from time to time and shall come into effect from the date of listing of the Equity Shares of the Company.</w:t>
      </w:r>
    </w:p>
    <w:p w:rsidR="00000000" w:rsidDel="00000000" w:rsidP="00000000" w:rsidRDefault="00000000" w:rsidRPr="00000000" w14:paraId="00000024">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1"/>
        <w:numPr>
          <w:ilvl w:val="0"/>
          <w:numId w:val="17"/>
        </w:numPr>
        <w:pBdr>
          <w:bottom w:color="000000" w:space="1" w:sz="4" w:val="single"/>
        </w:pBdr>
        <w:spacing w:line="259"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w:t>
      </w:r>
    </w:p>
    <w:p w:rsidR="00000000" w:rsidDel="00000000" w:rsidP="00000000" w:rsidRDefault="00000000" w:rsidRPr="00000000" w14:paraId="00000026">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widowControl w:val="1"/>
        <w:numPr>
          <w:ilvl w:val="0"/>
          <w:numId w:val="10"/>
        </w:numPr>
        <w:spacing w:line="276" w:lineRule="auto"/>
        <w:ind w:left="540" w:hanging="28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Unless the context otherwise requires, the following words, expression and derivations shall have the meaning assigned to them as under:</w:t>
      </w:r>
      <w:r w:rsidDel="00000000" w:rsidR="00000000" w:rsidRPr="00000000">
        <w:rPr>
          <w:rtl w:val="0"/>
        </w:rPr>
      </w:r>
    </w:p>
    <w:p w:rsidR="00000000" w:rsidDel="00000000" w:rsidP="00000000" w:rsidRDefault="00000000" w:rsidRPr="00000000" w14:paraId="00000028">
      <w:pPr>
        <w:widowControl w:val="1"/>
        <w:spacing w:line="276" w:lineRule="auto"/>
        <w:ind w:left="993" w:firstLine="0"/>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29">
      <w:pPr>
        <w:widowControl w:val="1"/>
        <w:numPr>
          <w:ilvl w:val="1"/>
          <w:numId w:val="13"/>
        </w:numPr>
        <w:spacing w:line="276"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w:t>
      </w:r>
      <w:r w:rsidDel="00000000" w:rsidR="00000000" w:rsidRPr="00000000">
        <w:rPr>
          <w:rFonts w:ascii="Times New Roman" w:cs="Times New Roman" w:eastAsia="Times New Roman" w:hAnsi="Times New Roman"/>
          <w:rtl w:val="0"/>
        </w:rPr>
        <w:t xml:space="preserve"> means the Securities and Exchange Board of India Act, 1992.</w:t>
      </w:r>
    </w:p>
    <w:p w:rsidR="00000000" w:rsidDel="00000000" w:rsidP="00000000" w:rsidRDefault="00000000" w:rsidRPr="00000000" w14:paraId="0000002A">
      <w:pPr>
        <w:widowControl w:val="1"/>
        <w:numPr>
          <w:ilvl w:val="1"/>
          <w:numId w:val="13"/>
        </w:numPr>
        <w:spacing w:line="276"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“Board” </w:t>
      </w:r>
      <w:r w:rsidDel="00000000" w:rsidR="00000000" w:rsidRPr="00000000">
        <w:rPr>
          <w:rFonts w:ascii="Times New Roman" w:cs="Times New Roman" w:eastAsia="Times New Roman" w:hAnsi="Times New Roman"/>
          <w:rtl w:val="0"/>
        </w:rPr>
        <w:t xml:space="preserve">means Security and Exchange Board of India.</w:t>
      </w:r>
    </w:p>
    <w:p w:rsidR="00000000" w:rsidDel="00000000" w:rsidP="00000000" w:rsidRDefault="00000000" w:rsidRPr="00000000" w14:paraId="0000002B">
      <w:pPr>
        <w:widowControl w:val="1"/>
        <w:numPr>
          <w:ilvl w:val="1"/>
          <w:numId w:val="13"/>
        </w:numPr>
        <w:spacing w:line="276"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“Compliance Officer”</w:t>
      </w:r>
      <w:r w:rsidDel="00000000" w:rsidR="00000000" w:rsidRPr="00000000">
        <w:rPr>
          <w:rFonts w:ascii="Times New Roman" w:cs="Times New Roman" w:eastAsia="Times New Roman" w:hAnsi="Times New Roman"/>
          <w:rtl w:val="0"/>
        </w:rPr>
        <w:t xml:space="preserve"> means </w:t>
      </w:r>
      <w:r w:rsidDel="00000000" w:rsidR="00000000" w:rsidRPr="00000000">
        <w:rPr>
          <w:rFonts w:ascii="Times New Roman" w:cs="Times New Roman" w:eastAsia="Times New Roman" w:hAnsi="Times New Roman"/>
          <w:sz w:val="23"/>
          <w:szCs w:val="23"/>
          <w:rtl w:val="0"/>
        </w:rPr>
        <w:t xml:space="preserve">means any senior officer, designated so and reporting to the board  of  directors  or  head  of  the  organization  in  case  board  is  not  there,  who  is financially literate and is capable of appreciating requirements for legal and regulatory compliance  under  these  regulations  and  who  shall  be  responsible  for  compliance  of policies, procedures, maintenance of records, monitoring adherence to the rules for the preservation of unpublished price sensitive information, monitoring of trades and the implementation of the codes specified in these regulations under the overall supervision of the board of directors of the listed company or the head of an organization, as the case may be. </w:t>
      </w:r>
      <w:r w:rsidDel="00000000" w:rsidR="00000000" w:rsidRPr="00000000">
        <w:rPr>
          <w:rtl w:val="0"/>
        </w:rPr>
      </w:r>
    </w:p>
    <w:p w:rsidR="00000000" w:rsidDel="00000000" w:rsidP="00000000" w:rsidRDefault="00000000" w:rsidRPr="00000000" w14:paraId="0000002C">
      <w:pPr>
        <w:widowControl w:val="1"/>
        <w:spacing w:line="276"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widowControl w:val="1"/>
        <w:numPr>
          <w:ilvl w:val="1"/>
          <w:numId w:val="13"/>
        </w:numPr>
        <w:spacing w:line="276"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"Connected person"</w:t>
      </w:r>
      <w:r w:rsidDel="00000000" w:rsidR="00000000" w:rsidRPr="00000000">
        <w:rPr>
          <w:rFonts w:ascii="Times New Roman" w:cs="Times New Roman" w:eastAsia="Times New Roman" w:hAnsi="Times New Roman"/>
          <w:rtl w:val="0"/>
        </w:rPr>
        <w:t xml:space="preserve"> means -</w:t>
      </w:r>
    </w:p>
    <w:p w:rsidR="00000000" w:rsidDel="00000000" w:rsidP="00000000" w:rsidRDefault="00000000" w:rsidRPr="00000000" w14:paraId="0000002E">
      <w:pPr>
        <w:widowControl w:val="1"/>
        <w:numPr>
          <w:ilvl w:val="0"/>
          <w:numId w:val="1"/>
        </w:numPr>
        <w:spacing w:line="276"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who is or has during the </w:t>
      </w:r>
      <w:r w:rsidDel="00000000" w:rsidR="00000000" w:rsidRPr="00000000">
        <w:rPr>
          <w:rFonts w:ascii="Times New Roman" w:cs="Times New Roman" w:eastAsia="Times New Roman" w:hAnsi="Times New Roman"/>
          <w:b w:val="1"/>
          <w:rtl w:val="0"/>
        </w:rPr>
        <w:t xml:space="preserve">six months</w:t>
      </w:r>
      <w:r w:rsidDel="00000000" w:rsidR="00000000" w:rsidRPr="00000000">
        <w:rPr>
          <w:rFonts w:ascii="Times New Roman" w:cs="Times New Roman" w:eastAsia="Times New Roman" w:hAnsi="Times New Roman"/>
          <w:rtl w:val="0"/>
        </w:rPr>
        <w:t xml:space="preserve"> prior to the concerned act been associated  with  a  company,  directly  or  indirectly,  in  any  capacity  including by reason of frequent communication with its officers or by being in any contractual, fiduciary  or  employment  relationship or  by  being  a  director,  officer  or  an employee  of  the  company or holds any  position including  a  professional  or business  relationship  between  himself  and  the  company whether  temporary  or permanent, that allows  such  person,  directly  or  indirectly ,access  to  unpublished price sensitive information or is reasonably expected to allow such access. </w:t>
      </w:r>
    </w:p>
    <w:p w:rsidR="00000000" w:rsidDel="00000000" w:rsidP="00000000" w:rsidRDefault="00000000" w:rsidRPr="00000000" w14:paraId="0000002F">
      <w:pPr>
        <w:widowControl w:val="1"/>
        <w:spacing w:line="276" w:lineRule="auto"/>
        <w:ind w:left="21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widowControl w:val="1"/>
        <w:numPr>
          <w:ilvl w:val="0"/>
          <w:numId w:val="1"/>
        </w:numPr>
        <w:spacing w:line="276"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Without prejudice to the generality of the foregoing, the persons falling within the following categories shall be deemed  to  be  connected  persons unless  the contrary is established,-</w:t>
      </w:r>
    </w:p>
    <w:p w:rsidR="00000000" w:rsidDel="00000000" w:rsidP="00000000" w:rsidRDefault="00000000" w:rsidRPr="00000000" w14:paraId="00000031">
      <w:pPr>
        <w:widowControl w:val="1"/>
        <w:numPr>
          <w:ilvl w:val="0"/>
          <w:numId w:val="2"/>
        </w:numPr>
        <w:spacing w:line="276" w:lineRule="auto"/>
        <w:ind w:left="17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immediate relative of connected persons specified in clause (i); or</w:t>
      </w:r>
    </w:p>
    <w:p w:rsidR="00000000" w:rsidDel="00000000" w:rsidP="00000000" w:rsidRDefault="00000000" w:rsidRPr="00000000" w14:paraId="00000032">
      <w:pPr>
        <w:widowControl w:val="1"/>
        <w:numPr>
          <w:ilvl w:val="0"/>
          <w:numId w:val="2"/>
        </w:numPr>
        <w:spacing w:line="276" w:lineRule="auto"/>
        <w:ind w:left="17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holding company or associate company or subsidiary company; or</w:t>
      </w:r>
    </w:p>
    <w:p w:rsidR="00000000" w:rsidDel="00000000" w:rsidP="00000000" w:rsidRDefault="00000000" w:rsidRPr="00000000" w14:paraId="00000033">
      <w:pPr>
        <w:widowControl w:val="1"/>
        <w:numPr>
          <w:ilvl w:val="0"/>
          <w:numId w:val="2"/>
        </w:numPr>
        <w:spacing w:line="276" w:lineRule="auto"/>
        <w:ind w:left="17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intermediary as specified in </w:t>
      </w:r>
      <w:r w:rsidDel="00000000" w:rsidR="00000000" w:rsidRPr="00000000">
        <w:rPr>
          <w:rFonts w:ascii="Times New Roman" w:cs="Times New Roman" w:eastAsia="Times New Roman" w:hAnsi="Times New Roman"/>
          <w:b w:val="1"/>
          <w:rtl w:val="0"/>
        </w:rPr>
        <w:t xml:space="preserve">section 12</w:t>
      </w:r>
      <w:r w:rsidDel="00000000" w:rsidR="00000000" w:rsidRPr="00000000">
        <w:rPr>
          <w:rFonts w:ascii="Times New Roman" w:cs="Times New Roman" w:eastAsia="Times New Roman" w:hAnsi="Times New Roman"/>
          <w:rtl w:val="0"/>
        </w:rPr>
        <w:t xml:space="preserve">  of  the  Actor  an  employee  or director thereof; or</w:t>
      </w:r>
    </w:p>
    <w:p w:rsidR="00000000" w:rsidDel="00000000" w:rsidP="00000000" w:rsidRDefault="00000000" w:rsidRPr="00000000" w14:paraId="00000034">
      <w:pPr>
        <w:widowControl w:val="1"/>
        <w:numPr>
          <w:ilvl w:val="0"/>
          <w:numId w:val="2"/>
        </w:numPr>
        <w:spacing w:line="276" w:lineRule="auto"/>
        <w:ind w:left="17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investment company, trustee company, asset management  company  or an employee or director thereof; or</w:t>
      </w:r>
    </w:p>
    <w:p w:rsidR="00000000" w:rsidDel="00000000" w:rsidP="00000000" w:rsidRDefault="00000000" w:rsidRPr="00000000" w14:paraId="00000035">
      <w:pPr>
        <w:widowControl w:val="1"/>
        <w:numPr>
          <w:ilvl w:val="0"/>
          <w:numId w:val="2"/>
        </w:numPr>
        <w:spacing w:line="276" w:lineRule="auto"/>
        <w:ind w:left="17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official of a stock exchange or of clearing house or corporation; or</w:t>
      </w:r>
    </w:p>
    <w:p w:rsidR="00000000" w:rsidDel="00000000" w:rsidP="00000000" w:rsidRDefault="00000000" w:rsidRPr="00000000" w14:paraId="00000036">
      <w:pPr>
        <w:widowControl w:val="1"/>
        <w:numPr>
          <w:ilvl w:val="0"/>
          <w:numId w:val="2"/>
        </w:numPr>
        <w:spacing w:line="276" w:lineRule="auto"/>
        <w:ind w:left="17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member of board of trustees of a mutual fund or a member of the board of directors of the asset management company of a mutual fund or is an employee thereof; or </w:t>
      </w:r>
    </w:p>
    <w:p w:rsidR="00000000" w:rsidDel="00000000" w:rsidP="00000000" w:rsidRDefault="00000000" w:rsidRPr="00000000" w14:paraId="00000037">
      <w:pPr>
        <w:widowControl w:val="1"/>
        <w:numPr>
          <w:ilvl w:val="0"/>
          <w:numId w:val="2"/>
        </w:numPr>
        <w:spacing w:line="276" w:lineRule="auto"/>
        <w:ind w:left="17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member of  the  board  of  directors  or  an  employee,  of  a  public  financial institution as defined in section 2 (72) of the Companies Act,2013; or</w:t>
      </w:r>
    </w:p>
    <w:p w:rsidR="00000000" w:rsidDel="00000000" w:rsidP="00000000" w:rsidRDefault="00000000" w:rsidRPr="00000000" w14:paraId="00000038">
      <w:pPr>
        <w:widowControl w:val="1"/>
        <w:numPr>
          <w:ilvl w:val="0"/>
          <w:numId w:val="2"/>
        </w:numPr>
        <w:spacing w:line="276" w:lineRule="auto"/>
        <w:ind w:left="17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official or an employee of a self-regulatory organization recognised or authorized by the Board; or</w:t>
      </w:r>
    </w:p>
    <w:p w:rsidR="00000000" w:rsidDel="00000000" w:rsidP="00000000" w:rsidRDefault="00000000" w:rsidRPr="00000000" w14:paraId="00000039">
      <w:pPr>
        <w:widowControl w:val="1"/>
        <w:numPr>
          <w:ilvl w:val="0"/>
          <w:numId w:val="2"/>
        </w:numPr>
        <w:spacing w:line="276" w:lineRule="auto"/>
        <w:ind w:left="17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banker of the company; or</w:t>
      </w:r>
    </w:p>
    <w:p w:rsidR="00000000" w:rsidDel="00000000" w:rsidP="00000000" w:rsidRDefault="00000000" w:rsidRPr="00000000" w14:paraId="0000003A">
      <w:pPr>
        <w:widowControl w:val="1"/>
        <w:numPr>
          <w:ilvl w:val="0"/>
          <w:numId w:val="2"/>
        </w:numPr>
        <w:spacing w:line="276" w:lineRule="auto"/>
        <w:ind w:left="17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concern, firm, trust, Hindu undivided family, company or association of persons wherein a director of a company or his immediate relative or banker of the company, has more than ten per cent. of the holding or interest;</w:t>
      </w:r>
    </w:p>
    <w:p w:rsidR="00000000" w:rsidDel="00000000" w:rsidP="00000000" w:rsidRDefault="00000000" w:rsidRPr="00000000" w14:paraId="0000003B">
      <w:pPr>
        <w:widowControl w:val="1"/>
        <w:spacing w:line="276" w:lineRule="auto"/>
        <w:ind w:left="28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widowControl w:val="1"/>
        <w:spacing w:line="276" w:lineRule="auto"/>
        <w:ind w:left="993"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NOTE:</w:t>
      </w:r>
      <w:r w:rsidDel="00000000" w:rsidR="00000000" w:rsidRPr="00000000">
        <w:rPr>
          <w:rFonts w:ascii="Times New Roman" w:cs="Times New Roman" w:eastAsia="Times New Roman" w:hAnsi="Times New Roman"/>
          <w:i w:val="1"/>
          <w:rtl w:val="0"/>
        </w:rPr>
        <w:t xml:space="preserve"> It is intended that a connected person is one who has a connection with the company that is expected to put him in possession of unpublished price sensitive information. Immediate relatives and other categories of persons specified above are also presumed to be connected persons but such a presumption is a deeming legal fiction and is rebuttable. This definition is also intended to bring into its ambit persons who may not seemingly occupy any position in a company but are in regular touch with the company and its officers and are involved in the know of the company’s operations. It is intended to bring within its ambit those who would have access to or could access unpublished price sensitive information about any company  or  class  of  companies  by  virtue  of  any connection that would put them in possession of unpublished price sensitive information.</w:t>
      </w:r>
    </w:p>
    <w:p w:rsidR="00000000" w:rsidDel="00000000" w:rsidP="00000000" w:rsidRDefault="00000000" w:rsidRPr="00000000" w14:paraId="0000003D">
      <w:pPr>
        <w:widowControl w:val="1"/>
        <w:spacing w:line="276" w:lineRule="auto"/>
        <w:ind w:left="99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1"/>
        <w:numPr>
          <w:ilvl w:val="1"/>
          <w:numId w:val="13"/>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“Dealing in Securities”</w:t>
      </w:r>
      <w:r w:rsidDel="00000000" w:rsidR="00000000" w:rsidRPr="00000000">
        <w:rPr>
          <w:rFonts w:ascii="Times New Roman" w:cs="Times New Roman" w:eastAsia="Times New Roman" w:hAnsi="Times New Roman"/>
          <w:rtl w:val="0"/>
        </w:rPr>
        <w:t xml:space="preserve"> means an act of subscribing to, buying, selling or agreeing to subscribe to, buy, sell or deal in the securities of the Company either as principal or agent.</w:t>
      </w:r>
    </w:p>
    <w:p w:rsidR="00000000" w:rsidDel="00000000" w:rsidP="00000000" w:rsidRDefault="00000000" w:rsidRPr="00000000" w14:paraId="0000003F">
      <w:pPr>
        <w:widowControl w:val="1"/>
        <w:spacing w:line="259"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1"/>
        <w:numPr>
          <w:ilvl w:val="1"/>
          <w:numId w:val="13"/>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“Designated Person(s)”,</w:t>
      </w:r>
      <w:r w:rsidDel="00000000" w:rsidR="00000000" w:rsidRPr="00000000">
        <w:rPr>
          <w:rFonts w:ascii="Times New Roman" w:cs="Times New Roman" w:eastAsia="Times New Roman" w:hAnsi="Times New Roman"/>
          <w:rtl w:val="0"/>
        </w:rPr>
        <w:t xml:space="preserve"> means:</w:t>
      </w:r>
    </w:p>
    <w:p w:rsidR="00000000" w:rsidDel="00000000" w:rsidP="00000000" w:rsidRDefault="00000000" w:rsidRPr="00000000" w14:paraId="00000041">
      <w:pPr>
        <w:widowControl w:val="1"/>
        <w:numPr>
          <w:ilvl w:val="0"/>
          <w:numId w:val="15"/>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Promoters of the Company;</w:t>
      </w:r>
    </w:p>
    <w:p w:rsidR="00000000" w:rsidDel="00000000" w:rsidP="00000000" w:rsidRDefault="00000000" w:rsidRPr="00000000" w14:paraId="00000042">
      <w:pPr>
        <w:widowControl w:val="1"/>
        <w:numPr>
          <w:ilvl w:val="0"/>
          <w:numId w:val="15"/>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Directors including executive, non-executive &amp; Independent of the Company and its subsidiaries</w:t>
      </w:r>
    </w:p>
    <w:p w:rsidR="00000000" w:rsidDel="00000000" w:rsidP="00000000" w:rsidRDefault="00000000" w:rsidRPr="00000000" w14:paraId="00000043">
      <w:pPr>
        <w:widowControl w:val="1"/>
        <w:numPr>
          <w:ilvl w:val="0"/>
          <w:numId w:val="15"/>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KMP of the company and Executive Secretaries of Directors;</w:t>
      </w:r>
    </w:p>
    <w:p w:rsidR="00000000" w:rsidDel="00000000" w:rsidP="00000000" w:rsidRDefault="00000000" w:rsidRPr="00000000" w14:paraId="00000044">
      <w:pPr>
        <w:widowControl w:val="1"/>
        <w:numPr>
          <w:ilvl w:val="0"/>
          <w:numId w:val="15"/>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Secretaries / Executive Assistants/ Personal Assistants of CEO, Managing Director, Whole Time Director, Chief Financial Officer (CFO), Presidents, Vice Presidents.</w:t>
      </w:r>
    </w:p>
    <w:p w:rsidR="00000000" w:rsidDel="00000000" w:rsidP="00000000" w:rsidRDefault="00000000" w:rsidRPr="00000000" w14:paraId="00000045">
      <w:pPr>
        <w:widowControl w:val="1"/>
        <w:numPr>
          <w:ilvl w:val="0"/>
          <w:numId w:val="15"/>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Executive Officer and All Employees up to two levels below of Chief Executive Officer of the Company and its material subsidiaries, if any, irrespective of their functional role in the Company;</w:t>
      </w:r>
    </w:p>
    <w:p w:rsidR="00000000" w:rsidDel="00000000" w:rsidP="00000000" w:rsidRDefault="00000000" w:rsidRPr="00000000" w14:paraId="00000046">
      <w:pPr>
        <w:widowControl w:val="1"/>
        <w:numPr>
          <w:ilvl w:val="0"/>
          <w:numId w:val="15"/>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Immediate Relatives of persons specified in (i) to (v) above.</w:t>
      </w:r>
    </w:p>
    <w:p w:rsidR="00000000" w:rsidDel="00000000" w:rsidP="00000000" w:rsidRDefault="00000000" w:rsidRPr="00000000" w14:paraId="00000047">
      <w:pPr>
        <w:widowControl w:val="1"/>
        <w:numPr>
          <w:ilvl w:val="0"/>
          <w:numId w:val="15"/>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staff including IT staff or secretarial staff who have access to Unpublished Price Sensitive Information;</w:t>
      </w:r>
    </w:p>
    <w:p w:rsidR="00000000" w:rsidDel="00000000" w:rsidP="00000000" w:rsidRDefault="00000000" w:rsidRPr="00000000" w14:paraId="00000048">
      <w:pPr>
        <w:widowControl w:val="1"/>
        <w:spacing w:line="259" w:lineRule="auto"/>
        <w:ind w:left="184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1"/>
        <w:spacing w:line="259" w:lineRule="auto"/>
        <w:ind w:left="9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Person designated by the Company on the basis of their functional role and such function would provide access to UPSI.</w:t>
      </w:r>
    </w:p>
    <w:p w:rsidR="00000000" w:rsidDel="00000000" w:rsidP="00000000" w:rsidRDefault="00000000" w:rsidRPr="00000000" w14:paraId="0000004A">
      <w:pPr>
        <w:widowControl w:val="1"/>
        <w:spacing w:line="259" w:lineRule="auto"/>
        <w:ind w:left="21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widowControl w:val="1"/>
        <w:numPr>
          <w:ilvl w:val="1"/>
          <w:numId w:val="13"/>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“Immediate relative” </w:t>
      </w:r>
      <w:r w:rsidDel="00000000" w:rsidR="00000000" w:rsidRPr="00000000">
        <w:rPr>
          <w:rFonts w:ascii="Times New Roman" w:cs="Times New Roman" w:eastAsia="Times New Roman" w:hAnsi="Times New Roman"/>
          <w:rtl w:val="0"/>
        </w:rPr>
        <w:t xml:space="preserve">means a spouse of a person, and includes parent, sibling, and child of  such  person  or  of  the  spouse,  any  of  whom  is  either  dependent  financially  on such person, or consults such person in taking decisions relating to trading in securities;</w:t>
      </w:r>
    </w:p>
    <w:p w:rsidR="00000000" w:rsidDel="00000000" w:rsidP="00000000" w:rsidRDefault="00000000" w:rsidRPr="00000000" w14:paraId="0000004C">
      <w:pPr>
        <w:widowControl w:val="1"/>
        <w:spacing w:line="259"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widowControl w:val="1"/>
        <w:numPr>
          <w:ilvl w:val="1"/>
          <w:numId w:val="13"/>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“Insider”</w:t>
      </w:r>
      <w:r w:rsidDel="00000000" w:rsidR="00000000" w:rsidRPr="00000000">
        <w:rPr>
          <w:rFonts w:ascii="Times New Roman" w:cs="Times New Roman" w:eastAsia="Times New Roman" w:hAnsi="Times New Roman"/>
          <w:rtl w:val="0"/>
        </w:rPr>
        <w:t xml:space="preserve"> means any person who is:</w:t>
      </w:r>
    </w:p>
    <w:p w:rsidR="00000000" w:rsidDel="00000000" w:rsidP="00000000" w:rsidRDefault="00000000" w:rsidRPr="00000000" w14:paraId="0000004E">
      <w:pPr>
        <w:widowControl w:val="1"/>
        <w:numPr>
          <w:ilvl w:val="2"/>
          <w:numId w:val="4"/>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connected person; or</w:t>
      </w:r>
    </w:p>
    <w:p w:rsidR="00000000" w:rsidDel="00000000" w:rsidP="00000000" w:rsidRDefault="00000000" w:rsidRPr="00000000" w14:paraId="0000004F">
      <w:pPr>
        <w:widowControl w:val="1"/>
        <w:numPr>
          <w:ilvl w:val="2"/>
          <w:numId w:val="4"/>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possession   of or having   access   to unpublished   price   sensitive information;</w:t>
      </w:r>
    </w:p>
    <w:p w:rsidR="00000000" w:rsidDel="00000000" w:rsidP="00000000" w:rsidRDefault="00000000" w:rsidRPr="00000000" w14:paraId="00000050">
      <w:pPr>
        <w:widowControl w:val="1"/>
        <w:spacing w:line="259" w:lineRule="auto"/>
        <w:ind w:left="23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1"/>
        <w:numPr>
          <w:ilvl w:val="1"/>
          <w:numId w:val="13"/>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“Need to Know Basis”</w:t>
      </w:r>
      <w:r w:rsidDel="00000000" w:rsidR="00000000" w:rsidRPr="00000000">
        <w:rPr>
          <w:rFonts w:ascii="Times New Roman" w:cs="Times New Roman" w:eastAsia="Times New Roman" w:hAnsi="Times New Roman"/>
          <w:rtl w:val="0"/>
        </w:rPr>
        <w:t xml:space="preserve"> means that Unpublished Price Sensitive Information should be disclosed only to those within the Company who need the information to discharge their duty and whose possession of such information will not give rise to a conflict of interest or appearance of misuse of the information.</w:t>
      </w:r>
    </w:p>
    <w:p w:rsidR="00000000" w:rsidDel="00000000" w:rsidP="00000000" w:rsidRDefault="00000000" w:rsidRPr="00000000" w14:paraId="00000052">
      <w:pPr>
        <w:widowControl w:val="1"/>
        <w:spacing w:line="259"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1"/>
        <w:numPr>
          <w:ilvl w:val="1"/>
          <w:numId w:val="13"/>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"unpublished  price  sensitive  information" </w:t>
      </w:r>
      <w:r w:rsidDel="00000000" w:rsidR="00000000" w:rsidRPr="00000000">
        <w:rPr>
          <w:rFonts w:ascii="Times New Roman" w:cs="Times New Roman" w:eastAsia="Times New Roman" w:hAnsi="Times New Roman"/>
          <w:b w:val="1"/>
          <w:sz w:val="23"/>
          <w:szCs w:val="23"/>
          <w:rtl w:val="0"/>
        </w:rPr>
        <w:t xml:space="preserve">or “UPSI”</w:t>
      </w:r>
      <w:r w:rsidDel="00000000" w:rsidR="00000000" w:rsidRPr="00000000">
        <w:rPr>
          <w:rFonts w:ascii="Times New Roman" w:cs="Times New Roman" w:eastAsia="Times New Roman" w:hAnsi="Times New Roman"/>
          <w:b w:val="1"/>
          <w:color w:val="ff0000"/>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means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means  any  information,  relating  to  a company or its securities, directly or indirectly, that is not generally available which upon becoming generally available, is likely to materially affect the price of the securities and shall, ordinarily including but not restricted to, information relating to the following: –</w:t>
      </w:r>
    </w:p>
    <w:p w:rsidR="00000000" w:rsidDel="00000000" w:rsidP="00000000" w:rsidRDefault="00000000" w:rsidRPr="00000000" w14:paraId="00000054">
      <w:pPr>
        <w:widowControl w:val="1"/>
        <w:numPr>
          <w:ilvl w:val="0"/>
          <w:numId w:val="3"/>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 results</w:t>
      </w:r>
    </w:p>
    <w:p w:rsidR="00000000" w:rsidDel="00000000" w:rsidP="00000000" w:rsidRDefault="00000000" w:rsidRPr="00000000" w14:paraId="00000055">
      <w:pPr>
        <w:widowControl w:val="1"/>
        <w:numPr>
          <w:ilvl w:val="0"/>
          <w:numId w:val="3"/>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dividends;</w:t>
      </w:r>
    </w:p>
    <w:p w:rsidR="00000000" w:rsidDel="00000000" w:rsidP="00000000" w:rsidRDefault="00000000" w:rsidRPr="00000000" w14:paraId="00000056">
      <w:pPr>
        <w:widowControl w:val="1"/>
        <w:numPr>
          <w:ilvl w:val="0"/>
          <w:numId w:val="3"/>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in capital structure; </w:t>
      </w:r>
    </w:p>
    <w:p w:rsidR="00000000" w:rsidDel="00000000" w:rsidP="00000000" w:rsidRDefault="00000000" w:rsidRPr="00000000" w14:paraId="00000057">
      <w:pPr>
        <w:widowControl w:val="1"/>
        <w:numPr>
          <w:ilvl w:val="0"/>
          <w:numId w:val="3"/>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mergers, de-mergers, acquisitions, delistings, disposals and expansion of business and such other transactions; </w:t>
      </w:r>
    </w:p>
    <w:p w:rsidR="00000000" w:rsidDel="00000000" w:rsidP="00000000" w:rsidRDefault="00000000" w:rsidRPr="00000000" w14:paraId="00000058">
      <w:pPr>
        <w:widowControl w:val="1"/>
        <w:numPr>
          <w:ilvl w:val="0"/>
          <w:numId w:val="3"/>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changes in key managerial personnel.</w:t>
      </w:r>
    </w:p>
    <w:p w:rsidR="00000000" w:rsidDel="00000000" w:rsidP="00000000" w:rsidRDefault="00000000" w:rsidRPr="00000000" w14:paraId="00000059">
      <w:pPr>
        <w:widowControl w:val="1"/>
        <w:spacing w:line="259" w:lineRule="auto"/>
        <w:ind w:left="1260" w:hanging="36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A">
      <w:pPr>
        <w:widowControl w:val="1"/>
        <w:numPr>
          <w:ilvl w:val="1"/>
          <w:numId w:val="13"/>
        </w:numPr>
        <w:spacing w:line="259" w:lineRule="auto"/>
        <w:ind w:left="81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“Compliance Officer” </w:t>
      </w:r>
      <w:r w:rsidDel="00000000" w:rsidR="00000000" w:rsidRPr="00000000">
        <w:rPr>
          <w:rFonts w:ascii="Times New Roman" w:cs="Times New Roman" w:eastAsia="Times New Roman" w:hAnsi="Times New Roman"/>
          <w:sz w:val="23"/>
          <w:szCs w:val="23"/>
          <w:rtl w:val="0"/>
        </w:rPr>
        <w:t xml:space="preserve">means</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Unless otherwise designated by the Board, the Company Secretary of the Company for the time being shall be deemed to be the Compliance Officer for the purpose of this Code. Subject to prior consent of the Board, the Compliance Officer can delegate his/her authority to any other officer of the Company eligible to act as a Compliance Officer.</w:t>
      </w:r>
    </w:p>
    <w:p w:rsidR="00000000" w:rsidDel="00000000" w:rsidP="00000000" w:rsidRDefault="00000000" w:rsidRPr="00000000" w14:paraId="0000005B">
      <w:pPr>
        <w:widowControl w:val="1"/>
        <w:spacing w:line="259" w:lineRule="auto"/>
        <w:ind w:left="21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widowControl w:val="1"/>
        <w:numPr>
          <w:ilvl w:val="0"/>
          <w:numId w:val="10"/>
        </w:numPr>
        <w:spacing w:line="276" w:lineRule="auto"/>
        <w:ind w:left="54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Words and expressions used and not defined in these regulations but defined in the Securities and Exchange Board of India Act, 1992, the Securities Contracts (Regulation) Act, 1956, or the Companies Act, 2013 and any other rules and regulations as drafted by SEBI from time to time be made shall have the meanings respectively assigned to them in those legislation.</w:t>
      </w:r>
    </w:p>
    <w:p w:rsidR="00000000" w:rsidDel="00000000" w:rsidP="00000000" w:rsidRDefault="00000000" w:rsidRPr="00000000" w14:paraId="0000005D">
      <w:pPr>
        <w:widowControl w:val="1"/>
        <w:numPr>
          <w:ilvl w:val="0"/>
          <w:numId w:val="10"/>
        </w:numPr>
        <w:spacing w:line="276" w:lineRule="auto"/>
        <w:ind w:left="54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Code, words importing masculine shall include feminine and words importing singular shall include plural or vice versa.</w:t>
      </w:r>
    </w:p>
    <w:p w:rsidR="00000000" w:rsidDel="00000000" w:rsidP="00000000" w:rsidRDefault="00000000" w:rsidRPr="00000000" w14:paraId="0000005E">
      <w:pPr>
        <w:widowControl w:val="1"/>
        <w:spacing w:line="276" w:lineRule="auto"/>
        <w:ind w:left="993"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widowControl w:val="1"/>
        <w:numPr>
          <w:ilvl w:val="0"/>
          <w:numId w:val="17"/>
        </w:numPr>
        <w:pBdr>
          <w:bottom w:color="000000" w:space="1" w:sz="4" w:val="single"/>
        </w:pBdr>
        <w:spacing w:line="259"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OF COMPLAINCE OFFICER</w:t>
      </w:r>
    </w:p>
    <w:p w:rsidR="00000000" w:rsidDel="00000000" w:rsidP="00000000" w:rsidRDefault="00000000" w:rsidRPr="00000000" w14:paraId="00000060">
      <w:pPr>
        <w:widowControl w:val="1"/>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widowControl w:val="1"/>
        <w:numPr>
          <w:ilvl w:val="0"/>
          <w:numId w:val="16"/>
        </w:numPr>
        <w:spacing w:line="276"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Compliance Officer shall be responsible for setting forth policies, procedures, monitoring adherence to the rules for preservation of Unpublished Price-sensitive Information, preclearing of trades by Designated Persons, monitoring of trades and the implementation of the code under the overall supervision of the Board of Directors of the Company.</w:t>
      </w:r>
    </w:p>
    <w:p w:rsidR="00000000" w:rsidDel="00000000" w:rsidP="00000000" w:rsidRDefault="00000000" w:rsidRPr="00000000" w14:paraId="00000062">
      <w:pPr>
        <w:widowControl w:val="1"/>
        <w:spacing w:line="276"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widowControl w:val="1"/>
        <w:numPr>
          <w:ilvl w:val="0"/>
          <w:numId w:val="16"/>
        </w:numPr>
        <w:spacing w:line="276"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Compliance officer shall maintain records of all the declarations in the appropriate form given by the Designated Persons for a minimum period of five years.</w:t>
      </w:r>
    </w:p>
    <w:p w:rsidR="00000000" w:rsidDel="00000000" w:rsidP="00000000" w:rsidRDefault="00000000" w:rsidRPr="00000000" w14:paraId="00000064">
      <w:pPr>
        <w:widowControl w:val="1"/>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widowControl w:val="1"/>
        <w:numPr>
          <w:ilvl w:val="0"/>
          <w:numId w:val="16"/>
        </w:numPr>
        <w:spacing w:line="276"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Compliance officer may in consultation with the Co - Chairman / Managing Director and shall as directed by the Board, specifies “Prohibited Period” from time to time and immediately makes an announcement thereof and shall maintain a record of “Prohibited Period” specified from time to time.</w:t>
      </w:r>
    </w:p>
    <w:p w:rsidR="00000000" w:rsidDel="00000000" w:rsidP="00000000" w:rsidRDefault="00000000" w:rsidRPr="00000000" w14:paraId="00000066">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1"/>
        <w:numPr>
          <w:ilvl w:val="0"/>
          <w:numId w:val="16"/>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Compliance Officer shall place report on insider trading to the Board of Directors for the purpose of the Code and in particular, shall provide reports to the Chairman of the Audit Committee and to the Chairman of the Board annually or at such frequency as may be stipulated by the board of directors.</w:t>
      </w:r>
    </w:p>
    <w:p w:rsidR="00000000" w:rsidDel="00000000" w:rsidP="00000000" w:rsidRDefault="00000000" w:rsidRPr="00000000" w14:paraId="00000068">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widowControl w:val="1"/>
        <w:numPr>
          <w:ilvl w:val="0"/>
          <w:numId w:val="16"/>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Compliance Officer shall assist all employees in addressing any clarifications regarding the Regulation and Company’s Code of Conduct.</w:t>
      </w:r>
    </w:p>
    <w:p w:rsidR="00000000" w:rsidDel="00000000" w:rsidP="00000000" w:rsidRDefault="00000000" w:rsidRPr="00000000" w14:paraId="0000006A">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widowControl w:val="1"/>
        <w:numPr>
          <w:ilvl w:val="0"/>
          <w:numId w:val="17"/>
        </w:numPr>
        <w:pBdr>
          <w:bottom w:color="000000" w:space="1" w:sz="4" w:val="single"/>
        </w:pBdr>
        <w:spacing w:line="259"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PRESERVATION OF UNPUBLISHED PRICE SENSITIVE INFORMATION</w:t>
      </w:r>
    </w:p>
    <w:p w:rsidR="00000000" w:rsidDel="00000000" w:rsidP="00000000" w:rsidRDefault="00000000" w:rsidRPr="00000000" w14:paraId="0000006C">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widowControl w:val="1"/>
        <w:numPr>
          <w:ilvl w:val="0"/>
          <w:numId w:val="11"/>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price sensitive information shall be handled within the Company on a “Need to Know basis” and no unpublished price sensitive information (UPSI) shall be communicated to any person except in furtherance of the insider's legitimate purposes, performance of duties or discharge of his legal obligations.</w:t>
      </w:r>
    </w:p>
    <w:p w:rsidR="00000000" w:rsidDel="00000000" w:rsidP="00000000" w:rsidRDefault="00000000" w:rsidRPr="00000000" w14:paraId="0000006E">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widowControl w:val="1"/>
        <w:numPr>
          <w:ilvl w:val="0"/>
          <w:numId w:val="11"/>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in receipt of unpublished price sensitive information pursuant to “legitimate purpose” shall be considered an “insider” for purposes of these regulations and due notice shall be given to  such  persons  to  maintain  confidentiality  of  such unpublished  price sensitive information in compliance with these regulations.</w:t>
      </w:r>
    </w:p>
    <w:p w:rsidR="00000000" w:rsidDel="00000000" w:rsidP="00000000" w:rsidRDefault="00000000" w:rsidRPr="00000000" w14:paraId="00000070">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widowControl w:val="1"/>
        <w:numPr>
          <w:ilvl w:val="0"/>
          <w:numId w:val="11"/>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Files containing confidential information shall be kept secure. Computer files must have adequate security of login and password, etc. Files containing confidential information should be deleted / destroyed after its use. Shredder should be used for the destruction of physical files.</w:t>
      </w:r>
    </w:p>
    <w:p w:rsidR="00000000" w:rsidDel="00000000" w:rsidP="00000000" w:rsidRDefault="00000000" w:rsidRPr="00000000" w14:paraId="00000072">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widowControl w:val="1"/>
        <w:numPr>
          <w:ilvl w:val="0"/>
          <w:numId w:val="11"/>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Notwithstanding contained in 4.1, UPSI may be communicated, provided, allowed access to or procured, in connection with a transaction that would:                                    </w:t>
      </w:r>
    </w:p>
    <w:p w:rsidR="00000000" w:rsidDel="00000000" w:rsidP="00000000" w:rsidRDefault="00000000" w:rsidRPr="00000000" w14:paraId="00000074">
      <w:pPr>
        <w:widowControl w:val="1"/>
        <w:numPr>
          <w:ilvl w:val="0"/>
          <w:numId w:val="18"/>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entail an obligation to make an open offer under the takeover regulations where the board of directors of the company is of informed opinion that sharing of such information is in the best interests of the company.</w:t>
      </w:r>
    </w:p>
    <w:p w:rsidR="00000000" w:rsidDel="00000000" w:rsidP="00000000" w:rsidRDefault="00000000" w:rsidRPr="00000000" w14:paraId="00000075">
      <w:pPr>
        <w:widowControl w:val="1"/>
        <w:numPr>
          <w:ilvl w:val="0"/>
          <w:numId w:val="18"/>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attract the obligation to make an open offer under the takeover regulations but where  the board of directors of the company is of informed opinion that sharing  of  such  information is in the best interests of the company and the information that constitute unpublished  price  sensitive information is disseminated  to  be  made generally  available  at  least  two  trading  days prior to the proposed transaction being effected in such form as the board of directors may determine to be adequate and fair to cover all relevant and material facts.</w:t>
      </w:r>
    </w:p>
    <w:p w:rsidR="00000000" w:rsidDel="00000000" w:rsidP="00000000" w:rsidRDefault="00000000" w:rsidRPr="00000000" w14:paraId="00000076">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widowControl w:val="1"/>
        <w:numPr>
          <w:ilvl w:val="0"/>
          <w:numId w:val="17"/>
        </w:numPr>
        <w:pBdr>
          <w:bottom w:color="000000" w:space="1" w:sz="4" w:val="single"/>
        </w:pBdr>
        <w:spacing w:line="259"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PROHIBITIONS ON TRADING OF SECURITIES</w:t>
      </w:r>
    </w:p>
    <w:p w:rsidR="00000000" w:rsidDel="00000000" w:rsidP="00000000" w:rsidRDefault="00000000" w:rsidRPr="00000000" w14:paraId="00000078">
      <w:pPr>
        <w:widowControl w:val="1"/>
        <w:spacing w:line="276"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widowControl w:val="1"/>
        <w:numPr>
          <w:ilvl w:val="0"/>
          <w:numId w:val="6"/>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insider, either on his own behalf, or on behalf of any other person shall trade in the Securities of the Company when in possession of Unpublished Price Sensitive Information.</w:t>
      </w:r>
    </w:p>
    <w:p w:rsidR="00000000" w:rsidDel="00000000" w:rsidP="00000000" w:rsidRDefault="00000000" w:rsidRPr="00000000" w14:paraId="0000007A">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widowControl w:val="1"/>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However, trading in following cases is allowed i.e., restriction mentioned above is not applicable in following cases:</w:t>
      </w:r>
    </w:p>
    <w:p w:rsidR="00000000" w:rsidDel="00000000" w:rsidP="00000000" w:rsidRDefault="00000000" w:rsidRPr="00000000" w14:paraId="0000007C">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widowControl w:val="1"/>
        <w:numPr>
          <w:ilvl w:val="0"/>
          <w:numId w:val="20"/>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Transaction is an off-market inter-se transfer between insiders who were in possession of the same unpublished price sensitive information without breach of Regulation 3 of Insider Trading Regulation mentioned herein and both parties had made a conscious and informed trade decision.</w:t>
      </w:r>
    </w:p>
    <w:p w:rsidR="00000000" w:rsidDel="00000000" w:rsidP="00000000" w:rsidRDefault="00000000" w:rsidRPr="00000000" w14:paraId="0000007E">
      <w:pPr>
        <w:widowControl w:val="1"/>
        <w:spacing w:line="259"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widowControl w:val="1"/>
        <w:tabs>
          <w:tab w:val="left" w:leader="none" w:pos="1418"/>
        </w:tabs>
        <w:spacing w:line="259" w:lineRule="auto"/>
        <w:ind w:left="81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Provided that</w:t>
      </w:r>
      <w:r w:rsidDel="00000000" w:rsidR="00000000" w:rsidRPr="00000000">
        <w:rPr>
          <w:rFonts w:ascii="Times New Roman" w:cs="Times New Roman" w:eastAsia="Times New Roman" w:hAnsi="Times New Roman"/>
          <w:i w:val="1"/>
          <w:rtl w:val="0"/>
        </w:rPr>
        <w:t xml:space="preserve"> such unpublished price sensitive information was not  obtained under 4.4 of this Code and  such  off-market  trades are required to be reported by the insiders to the company within  two working days.</w:t>
      </w:r>
    </w:p>
    <w:p w:rsidR="00000000" w:rsidDel="00000000" w:rsidP="00000000" w:rsidRDefault="00000000" w:rsidRPr="00000000" w14:paraId="00000080">
      <w:pPr>
        <w:widowControl w:val="1"/>
        <w:tabs>
          <w:tab w:val="left" w:leader="none" w:pos="1418"/>
        </w:tabs>
        <w:spacing w:line="259" w:lineRule="auto"/>
        <w:ind w:left="810" w:hanging="36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1">
      <w:pPr>
        <w:widowControl w:val="1"/>
        <w:spacing w:line="259" w:lineRule="auto"/>
        <w:ind w:left="81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Every company shall notify the particulars of such trades to  the  stock  exchange on  which  the  securities  are  listed  </w:t>
      </w:r>
      <w:r w:rsidDel="00000000" w:rsidR="00000000" w:rsidRPr="00000000">
        <w:rPr>
          <w:rFonts w:ascii="Times New Roman" w:cs="Times New Roman" w:eastAsia="Times New Roman" w:hAnsi="Times New Roman"/>
          <w:b w:val="1"/>
          <w:i w:val="1"/>
          <w:rtl w:val="0"/>
        </w:rPr>
        <w:t xml:space="preserve">within two trading days</w:t>
      </w:r>
      <w:r w:rsidDel="00000000" w:rsidR="00000000" w:rsidRPr="00000000">
        <w:rPr>
          <w:rFonts w:ascii="Times New Roman" w:cs="Times New Roman" w:eastAsia="Times New Roman" w:hAnsi="Times New Roman"/>
          <w:i w:val="1"/>
          <w:rtl w:val="0"/>
        </w:rPr>
        <w:t xml:space="preserve"> from receipt of the disclosure or from becoming aware of such information.</w:t>
      </w:r>
    </w:p>
    <w:p w:rsidR="00000000" w:rsidDel="00000000" w:rsidP="00000000" w:rsidRDefault="00000000" w:rsidRPr="00000000" w14:paraId="00000082">
      <w:pPr>
        <w:widowControl w:val="1"/>
        <w:spacing w:line="259"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widowControl w:val="1"/>
        <w:numPr>
          <w:ilvl w:val="0"/>
          <w:numId w:val="20"/>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Transaction was carried out through the block deal window mechanism between persons who were in possession of the unpublished price sensitive information without being in breach of regulation 3 of Insider Trading Regulation and both parties had made a conscious and informed trade decision;</w:t>
      </w:r>
    </w:p>
    <w:p w:rsidR="00000000" w:rsidDel="00000000" w:rsidP="00000000" w:rsidRDefault="00000000" w:rsidRPr="00000000" w14:paraId="00000084">
      <w:pPr>
        <w:widowControl w:val="1"/>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Provided that such </w:t>
      </w:r>
      <w:r w:rsidDel="00000000" w:rsidR="00000000" w:rsidRPr="00000000">
        <w:rPr>
          <w:rFonts w:ascii="Times New Roman" w:cs="Times New Roman" w:eastAsia="Times New Roman" w:hAnsi="Times New Roman"/>
          <w:b w:val="1"/>
          <w:rtl w:val="0"/>
        </w:rPr>
        <w:t xml:space="preserve">unpublished price sensitive information</w:t>
      </w:r>
      <w:r w:rsidDel="00000000" w:rsidR="00000000" w:rsidRPr="00000000">
        <w:rPr>
          <w:rFonts w:ascii="Times New Roman" w:cs="Times New Roman" w:eastAsia="Times New Roman" w:hAnsi="Times New Roman"/>
          <w:rtl w:val="0"/>
        </w:rPr>
        <w:t xml:space="preserve"> was not obtained by either person under 4.4 of this Code.</w:t>
      </w:r>
    </w:p>
    <w:p w:rsidR="00000000" w:rsidDel="00000000" w:rsidP="00000000" w:rsidRDefault="00000000" w:rsidRPr="00000000" w14:paraId="00000085">
      <w:pPr>
        <w:widowControl w:val="1"/>
        <w:spacing w:line="259"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widowControl w:val="1"/>
        <w:numPr>
          <w:ilvl w:val="0"/>
          <w:numId w:val="20"/>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transaction in question was carried  out  pursuant  to  a  statutory  or  regulatory obligation to carry out a bona fide transaction.</w:t>
      </w:r>
    </w:p>
    <w:p w:rsidR="00000000" w:rsidDel="00000000" w:rsidP="00000000" w:rsidRDefault="00000000" w:rsidRPr="00000000" w14:paraId="00000087">
      <w:pPr>
        <w:widowControl w:val="1"/>
        <w:spacing w:line="259"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widowControl w:val="1"/>
        <w:numPr>
          <w:ilvl w:val="0"/>
          <w:numId w:val="20"/>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transaction in question was undertaken pursuant to the exercise of stock options in respect of which the exercise price was pre-determined in compliance with applicable regulations.</w:t>
      </w:r>
    </w:p>
    <w:p w:rsidR="00000000" w:rsidDel="00000000" w:rsidP="00000000" w:rsidRDefault="00000000" w:rsidRPr="00000000" w14:paraId="00000089">
      <w:pPr>
        <w:widowControl w:val="1"/>
        <w:spacing w:line="259" w:lineRule="auto"/>
        <w:ind w:left="81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widowControl w:val="1"/>
        <w:numPr>
          <w:ilvl w:val="0"/>
          <w:numId w:val="20"/>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case of non-individual insiders: –</w:t>
      </w:r>
    </w:p>
    <w:p w:rsidR="00000000" w:rsidDel="00000000" w:rsidP="00000000" w:rsidRDefault="00000000" w:rsidRPr="00000000" w14:paraId="0000008B">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widowControl w:val="1"/>
        <w:numPr>
          <w:ilvl w:val="0"/>
          <w:numId w:val="9"/>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individuals who were in possession of such unpublished price sensitive information were different from the individuals taking trading decisions and such decision-making individuals were not in possession of such unpublished price sensitive information when they took the decision to trade; and</w:t>
      </w:r>
    </w:p>
    <w:p w:rsidR="00000000" w:rsidDel="00000000" w:rsidP="00000000" w:rsidRDefault="00000000" w:rsidRPr="00000000" w14:paraId="0000008D">
      <w:pPr>
        <w:widowControl w:val="1"/>
        <w:numPr>
          <w:ilvl w:val="0"/>
          <w:numId w:val="9"/>
        </w:numPr>
        <w:spacing w:line="259" w:lineRule="auto"/>
        <w:ind w:left="12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appropriate and adequate arrangements were in  place  to  ensure  that  these regulations  are  not  violated  and  no  unpublished  price  sensitive  information  was communicated  by  the  individuals  possessing  the  information  to  the  individuals taking  trading  decisions  and  there  is  no evidence  of  such  arrangements  having been breached.</w:t>
      </w:r>
    </w:p>
    <w:p w:rsidR="00000000" w:rsidDel="00000000" w:rsidP="00000000" w:rsidRDefault="00000000" w:rsidRPr="00000000" w14:paraId="0000008E">
      <w:pPr>
        <w:widowControl w:val="1"/>
        <w:spacing w:line="259" w:lineRule="auto"/>
        <w:ind w:left="22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widowControl w:val="1"/>
        <w:numPr>
          <w:ilvl w:val="0"/>
          <w:numId w:val="20"/>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Trades is pursuant to Trading Plan made in accordance with Insider Regulation 5</w:t>
      </w:r>
    </w:p>
    <w:p w:rsidR="00000000" w:rsidDel="00000000" w:rsidP="00000000" w:rsidRDefault="00000000" w:rsidRPr="00000000" w14:paraId="00000090">
      <w:pPr>
        <w:widowControl w:val="1"/>
        <w:spacing w:line="259" w:lineRule="auto"/>
        <w:ind w:left="148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widowControl w:val="1"/>
        <w:numPr>
          <w:ilvl w:val="0"/>
          <w:numId w:val="17"/>
        </w:numPr>
        <w:pBdr>
          <w:bottom w:color="000000" w:space="1" w:sz="4" w:val="single"/>
        </w:pBdr>
        <w:spacing w:line="259"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TRADING PLAN</w:t>
      </w:r>
    </w:p>
    <w:p w:rsidR="00000000" w:rsidDel="00000000" w:rsidP="00000000" w:rsidRDefault="00000000" w:rsidRPr="00000000" w14:paraId="00000092">
      <w:pPr>
        <w:widowControl w:val="1"/>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widowControl w:val="1"/>
        <w:numPr>
          <w:ilvl w:val="0"/>
          <w:numId w:val="14"/>
        </w:numPr>
        <w:spacing w:line="259" w:lineRule="auto"/>
        <w:ind w:left="54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 insider shall be entitled to formulate a trading plan and present it to the compliance officer for approval and public disclosure pursuant to which  trades  may  be  carried out on his behalf in accordance with such plan.</w:t>
      </w:r>
      <w:r w:rsidDel="00000000" w:rsidR="00000000" w:rsidRPr="00000000">
        <w:rPr>
          <w:rtl w:val="0"/>
        </w:rPr>
      </w:r>
    </w:p>
    <w:p w:rsidR="00000000" w:rsidDel="00000000" w:rsidP="00000000" w:rsidRDefault="00000000" w:rsidRPr="00000000" w14:paraId="00000094">
      <w:pPr>
        <w:widowControl w:val="1"/>
        <w:spacing w:line="259" w:lineRule="auto"/>
        <w:ind w:left="5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trading plan shall: –</w:t>
      </w:r>
    </w:p>
    <w:p w:rsidR="00000000" w:rsidDel="00000000" w:rsidP="00000000" w:rsidRDefault="00000000" w:rsidRPr="00000000" w14:paraId="00000095">
      <w:pPr>
        <w:widowControl w:val="1"/>
        <w:numPr>
          <w:ilvl w:val="0"/>
          <w:numId w:val="5"/>
        </w:numPr>
        <w:spacing w:line="259" w:lineRule="auto"/>
        <w:ind w:left="81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not entail commencement of trading on behalf of the insider earlier than six months from the public disclosure of the plan.</w:t>
      </w:r>
      <w:r w:rsidDel="00000000" w:rsidR="00000000" w:rsidRPr="00000000">
        <w:rPr>
          <w:rtl w:val="0"/>
        </w:rPr>
      </w:r>
    </w:p>
    <w:p w:rsidR="00000000" w:rsidDel="00000000" w:rsidP="00000000" w:rsidRDefault="00000000" w:rsidRPr="00000000" w14:paraId="00000096">
      <w:pPr>
        <w:widowControl w:val="1"/>
        <w:numPr>
          <w:ilvl w:val="0"/>
          <w:numId w:val="5"/>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entail overlap of any period for which another trading plan is already in existence.</w:t>
      </w:r>
    </w:p>
    <w:p w:rsidR="00000000" w:rsidDel="00000000" w:rsidP="00000000" w:rsidRDefault="00000000" w:rsidRPr="00000000" w14:paraId="00000097">
      <w:pPr>
        <w:widowControl w:val="1"/>
        <w:spacing w:line="259"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widowControl w:val="1"/>
        <w:spacing w:line="259"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widowControl w:val="1"/>
        <w:spacing w:line="259"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widowControl w:val="1"/>
        <w:numPr>
          <w:ilvl w:val="0"/>
          <w:numId w:val="5"/>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 out either the value of trades to be  effected  or  the  number  of  securities  to  be traded  along  with  the  nature  of  the  trade  and  the  intervals  at,  or  dates  on  which  such trades shall be effected; and</w:t>
      </w:r>
    </w:p>
    <w:p w:rsidR="00000000" w:rsidDel="00000000" w:rsidP="00000000" w:rsidRDefault="00000000" w:rsidRPr="00000000" w14:paraId="0000009B">
      <w:pPr>
        <w:widowControl w:val="1"/>
        <w:spacing w:line="259" w:lineRule="auto"/>
        <w:ind w:left="81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widowControl w:val="1"/>
        <w:numPr>
          <w:ilvl w:val="0"/>
          <w:numId w:val="5"/>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entail trading in securities for market abuse.</w:t>
      </w:r>
    </w:p>
    <w:p w:rsidR="00000000" w:rsidDel="00000000" w:rsidP="00000000" w:rsidRDefault="00000000" w:rsidRPr="00000000" w14:paraId="0000009D">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widowControl w:val="1"/>
        <w:numPr>
          <w:ilvl w:val="0"/>
          <w:numId w:val="14"/>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compliance officer shall review the trading plan to assess whether the plan would have any potential for violation of Insider Trading Regulations and shall be entitled to seek such express undertakings as may be necessary to enable  such  assessment  and  to  approve  and  monitor  the implementation of the plan.</w:t>
      </w:r>
    </w:p>
    <w:p w:rsidR="00000000" w:rsidDel="00000000" w:rsidP="00000000" w:rsidRDefault="00000000" w:rsidRPr="00000000" w14:paraId="0000009F">
      <w:pPr>
        <w:widowControl w:val="1"/>
        <w:spacing w:after="160"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widowControl w:val="1"/>
        <w:shd w:fill="ffffff" w:val="clea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trading plan once approved shall be irrevocable and the inside shall mandatorily have to implement the plan,  without  being  entitled  to  either  execute  any trade in the securities outside the scope of the trading plan </w:t>
      </w:r>
      <w:r w:rsidDel="00000000" w:rsidR="00000000" w:rsidRPr="00000000">
        <w:rPr>
          <w:rFonts w:ascii="Times New Roman" w:cs="Times New Roman" w:eastAsia="Times New Roman" w:hAnsi="Times New Roman"/>
          <w:sz w:val="23"/>
          <w:szCs w:val="23"/>
          <w:rtl w:val="0"/>
        </w:rPr>
        <w:t xml:space="preserve">or to deviate from it except due to permanent incapacity or bankruptcy or operation of law.</w:t>
      </w:r>
      <w:r w:rsidDel="00000000" w:rsidR="00000000" w:rsidRPr="00000000">
        <w:rPr>
          <w:rtl w:val="0"/>
        </w:rPr>
      </w:r>
    </w:p>
    <w:p w:rsidR="00000000" w:rsidDel="00000000" w:rsidP="00000000" w:rsidRDefault="00000000" w:rsidRPr="00000000" w14:paraId="000000A1">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widowControl w:val="1"/>
        <w:spacing w:line="259" w:lineRule="auto"/>
        <w:ind w:left="7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Provided that</w:t>
      </w:r>
      <w:r w:rsidDel="00000000" w:rsidR="00000000" w:rsidRPr="00000000">
        <w:rPr>
          <w:rFonts w:ascii="Times New Roman" w:cs="Times New Roman" w:eastAsia="Times New Roman" w:hAnsi="Times New Roman"/>
          <w:i w:val="1"/>
          <w:rtl w:val="0"/>
        </w:rPr>
        <w:t xml:space="preserve"> the implementation of the trading plan shall not be commenced if any unpublished price sensitive information in possession of the insider at the time of formulation of the plan has not become generally available at the time of the commencement of implementation </w:t>
      </w:r>
    </w:p>
    <w:p w:rsidR="00000000" w:rsidDel="00000000" w:rsidP="00000000" w:rsidRDefault="00000000" w:rsidRPr="00000000" w14:paraId="000000A3">
      <w:pPr>
        <w:widowControl w:val="1"/>
        <w:spacing w:line="259" w:lineRule="auto"/>
        <w:ind w:left="72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4">
      <w:pPr>
        <w:widowControl w:val="1"/>
        <w:numPr>
          <w:ilvl w:val="0"/>
          <w:numId w:val="14"/>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approval of the trading plan, the compliance officer shall notify the plan to the stock exchanges on which the securities are listed.    </w:t>
      </w:r>
    </w:p>
    <w:p w:rsidR="00000000" w:rsidDel="00000000" w:rsidP="00000000" w:rsidRDefault="00000000" w:rsidRPr="00000000" w14:paraId="000000A5">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widowControl w:val="1"/>
        <w:numPr>
          <w:ilvl w:val="0"/>
          <w:numId w:val="17"/>
        </w:numPr>
        <w:pBdr>
          <w:bottom w:color="000000" w:space="1" w:sz="4" w:val="single"/>
        </w:pBdr>
        <w:spacing w:line="259"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TRADING WINDOW</w:t>
      </w:r>
    </w:p>
    <w:p w:rsidR="00000000" w:rsidDel="00000000" w:rsidP="00000000" w:rsidRDefault="00000000" w:rsidRPr="00000000" w14:paraId="000000A7">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widowControl w:val="1"/>
        <w:numPr>
          <w:ilvl w:val="0"/>
          <w:numId w:val="7"/>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trading period during which Company’s securities can be traded is called </w:t>
      </w:r>
      <w:r w:rsidDel="00000000" w:rsidR="00000000" w:rsidRPr="00000000">
        <w:rPr>
          <w:rFonts w:ascii="Times New Roman" w:cs="Times New Roman" w:eastAsia="Times New Roman" w:hAnsi="Times New Roman"/>
          <w:b w:val="1"/>
          <w:rtl w:val="0"/>
        </w:rPr>
        <w:t xml:space="preserve">trading window</w:t>
      </w:r>
      <w:r w:rsidDel="00000000" w:rsidR="00000000" w:rsidRPr="00000000">
        <w:rPr>
          <w:rFonts w:ascii="Times New Roman" w:cs="Times New Roman" w:eastAsia="Times New Roman" w:hAnsi="Times New Roman"/>
          <w:rtl w:val="0"/>
        </w:rPr>
        <w:t xml:space="preserve">. The trading window shall be closed during the time the price sensitive information is un-published.</w:t>
      </w:r>
    </w:p>
    <w:p w:rsidR="00000000" w:rsidDel="00000000" w:rsidP="00000000" w:rsidRDefault="00000000" w:rsidRPr="00000000" w14:paraId="000000A9">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widowControl w:val="1"/>
        <w:numPr>
          <w:ilvl w:val="0"/>
          <w:numId w:val="7"/>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trading window is closed, the </w:t>
      </w:r>
      <w:r w:rsidDel="00000000" w:rsidR="00000000" w:rsidRPr="00000000">
        <w:rPr>
          <w:rFonts w:ascii="Times New Roman" w:cs="Times New Roman" w:eastAsia="Times New Roman" w:hAnsi="Times New Roman"/>
          <w:b w:val="1"/>
          <w:rtl w:val="0"/>
        </w:rPr>
        <w:t xml:space="preserve">Designated Persons</w:t>
      </w:r>
      <w:r w:rsidDel="00000000" w:rsidR="00000000" w:rsidRPr="00000000">
        <w:rPr>
          <w:rFonts w:ascii="Times New Roman" w:cs="Times New Roman" w:eastAsia="Times New Roman" w:hAnsi="Times New Roman"/>
          <w:rtl w:val="0"/>
        </w:rPr>
        <w:t xml:space="preserve"> (including their immediate relatives) shall </w:t>
      </w:r>
      <w:r w:rsidDel="00000000" w:rsidR="00000000" w:rsidRPr="00000000">
        <w:rPr>
          <w:rFonts w:ascii="Times New Roman" w:cs="Times New Roman" w:eastAsia="Times New Roman" w:hAnsi="Times New Roman"/>
          <w:b w:val="1"/>
          <w:rtl w:val="0"/>
        </w:rPr>
        <w:t xml:space="preserve">not trade</w:t>
      </w:r>
      <w:r w:rsidDel="00000000" w:rsidR="00000000" w:rsidRPr="00000000">
        <w:rPr>
          <w:rFonts w:ascii="Times New Roman" w:cs="Times New Roman" w:eastAsia="Times New Roman" w:hAnsi="Times New Roman"/>
          <w:rtl w:val="0"/>
        </w:rPr>
        <w:t xml:space="preserve"> in Company’s securities in such period.</w:t>
      </w:r>
    </w:p>
    <w:p w:rsidR="00000000" w:rsidDel="00000000" w:rsidP="00000000" w:rsidRDefault="00000000" w:rsidRPr="00000000" w14:paraId="000000AB">
      <w:pPr>
        <w:widowControl w:val="1"/>
        <w:spacing w:line="259" w:lineRule="auto"/>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widowControl w:val="1"/>
        <w:numPr>
          <w:ilvl w:val="0"/>
          <w:numId w:val="7"/>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trading window shall be, inter-alia </w:t>
      </w:r>
      <w:r w:rsidDel="00000000" w:rsidR="00000000" w:rsidRPr="00000000">
        <w:rPr>
          <w:rFonts w:ascii="Times New Roman" w:cs="Times New Roman" w:eastAsia="Times New Roman" w:hAnsi="Times New Roman"/>
          <w:b w:val="1"/>
          <w:rtl w:val="0"/>
        </w:rPr>
        <w:t xml:space="preserve">closed</w:t>
      </w:r>
      <w:r w:rsidDel="00000000" w:rsidR="00000000" w:rsidRPr="00000000">
        <w:rPr>
          <w:rFonts w:ascii="Times New Roman" w:cs="Times New Roman" w:eastAsia="Times New Roman" w:hAnsi="Times New Roman"/>
          <w:rtl w:val="0"/>
        </w:rPr>
        <w:t xml:space="preserve"> at the time of:</w:t>
      </w:r>
    </w:p>
    <w:p w:rsidR="00000000" w:rsidDel="00000000" w:rsidP="00000000" w:rsidRDefault="00000000" w:rsidRPr="00000000" w14:paraId="000000AD">
      <w:pPr>
        <w:widowControl w:val="1"/>
        <w:numPr>
          <w:ilvl w:val="1"/>
          <w:numId w:val="12"/>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Declaration of </w:t>
      </w:r>
      <w:r w:rsidDel="00000000" w:rsidR="00000000" w:rsidRPr="00000000">
        <w:rPr>
          <w:rFonts w:ascii="Times New Roman" w:cs="Times New Roman" w:eastAsia="Times New Roman" w:hAnsi="Times New Roman"/>
          <w:b w:val="1"/>
          <w:rtl w:val="0"/>
        </w:rPr>
        <w:t xml:space="preserve">Financial results</w:t>
      </w:r>
      <w:r w:rsidDel="00000000" w:rsidR="00000000" w:rsidRPr="00000000">
        <w:rPr>
          <w:rtl w:val="0"/>
        </w:rPr>
      </w:r>
    </w:p>
    <w:p w:rsidR="00000000" w:rsidDel="00000000" w:rsidP="00000000" w:rsidRDefault="00000000" w:rsidRPr="00000000" w14:paraId="000000AE">
      <w:pPr>
        <w:widowControl w:val="1"/>
        <w:numPr>
          <w:ilvl w:val="1"/>
          <w:numId w:val="12"/>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Declaration of </w:t>
      </w:r>
      <w:r w:rsidDel="00000000" w:rsidR="00000000" w:rsidRPr="00000000">
        <w:rPr>
          <w:rFonts w:ascii="Times New Roman" w:cs="Times New Roman" w:eastAsia="Times New Roman" w:hAnsi="Times New Roman"/>
          <w:b w:val="1"/>
          <w:rtl w:val="0"/>
        </w:rPr>
        <w:t xml:space="preserve">dividends</w:t>
      </w:r>
      <w:r w:rsidDel="00000000" w:rsidR="00000000" w:rsidRPr="00000000">
        <w:rPr>
          <w:rFonts w:ascii="Times New Roman" w:cs="Times New Roman" w:eastAsia="Times New Roman" w:hAnsi="Times New Roman"/>
          <w:rtl w:val="0"/>
        </w:rPr>
        <w:t xml:space="preserve"> (interim and final)</w:t>
      </w:r>
    </w:p>
    <w:p w:rsidR="00000000" w:rsidDel="00000000" w:rsidP="00000000" w:rsidRDefault="00000000" w:rsidRPr="00000000" w14:paraId="000000AF">
      <w:pPr>
        <w:widowControl w:val="1"/>
        <w:numPr>
          <w:ilvl w:val="1"/>
          <w:numId w:val="12"/>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in </w:t>
      </w:r>
      <w:r w:rsidDel="00000000" w:rsidR="00000000" w:rsidRPr="00000000">
        <w:rPr>
          <w:rFonts w:ascii="Times New Roman" w:cs="Times New Roman" w:eastAsia="Times New Roman" w:hAnsi="Times New Roman"/>
          <w:b w:val="1"/>
          <w:rtl w:val="0"/>
        </w:rPr>
        <w:t xml:space="preserve">capital structure</w:t>
      </w:r>
      <w:r w:rsidDel="00000000" w:rsidR="00000000" w:rsidRPr="00000000">
        <w:rPr>
          <w:rtl w:val="0"/>
        </w:rPr>
      </w:r>
    </w:p>
    <w:p w:rsidR="00000000" w:rsidDel="00000000" w:rsidP="00000000" w:rsidRDefault="00000000" w:rsidRPr="00000000" w14:paraId="000000B0">
      <w:pPr>
        <w:widowControl w:val="1"/>
        <w:numPr>
          <w:ilvl w:val="1"/>
          <w:numId w:val="12"/>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Mergers, de-mergers, acquisitions, delistings, disposals and expansion of business</w:t>
      </w:r>
    </w:p>
    <w:p w:rsidR="00000000" w:rsidDel="00000000" w:rsidP="00000000" w:rsidRDefault="00000000" w:rsidRPr="00000000" w14:paraId="000000B1">
      <w:pPr>
        <w:widowControl w:val="1"/>
        <w:numPr>
          <w:ilvl w:val="1"/>
          <w:numId w:val="12"/>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Changes in </w:t>
      </w:r>
      <w:r w:rsidDel="00000000" w:rsidR="00000000" w:rsidRPr="00000000">
        <w:rPr>
          <w:rFonts w:ascii="Times New Roman" w:cs="Times New Roman" w:eastAsia="Times New Roman" w:hAnsi="Times New Roman"/>
          <w:b w:val="1"/>
          <w:rtl w:val="0"/>
        </w:rPr>
        <w:t xml:space="preserve">key managerial personnel</w:t>
      </w:r>
      <w:r w:rsidDel="00000000" w:rsidR="00000000" w:rsidRPr="00000000">
        <w:rPr>
          <w:rtl w:val="0"/>
        </w:rPr>
      </w:r>
    </w:p>
    <w:p w:rsidR="00000000" w:rsidDel="00000000" w:rsidP="00000000" w:rsidRDefault="00000000" w:rsidRPr="00000000" w14:paraId="000000B2">
      <w:pPr>
        <w:widowControl w:val="1"/>
        <w:numPr>
          <w:ilvl w:val="1"/>
          <w:numId w:val="12"/>
        </w:numPr>
        <w:spacing w:line="259"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other time as the </w:t>
      </w:r>
      <w:r w:rsidDel="00000000" w:rsidR="00000000" w:rsidRPr="00000000">
        <w:rPr>
          <w:rFonts w:ascii="Times New Roman" w:cs="Times New Roman" w:eastAsia="Times New Roman" w:hAnsi="Times New Roman"/>
          <w:b w:val="1"/>
          <w:rtl w:val="0"/>
        </w:rPr>
        <w:t xml:space="preserve">compliance officer determines</w:t>
      </w:r>
      <w:r w:rsidDel="00000000" w:rsidR="00000000" w:rsidRPr="00000000">
        <w:rPr>
          <w:rFonts w:ascii="Times New Roman" w:cs="Times New Roman" w:eastAsia="Times New Roman" w:hAnsi="Times New Roman"/>
          <w:rtl w:val="0"/>
        </w:rPr>
        <w:t xml:space="preserve"> that a designated person or class of designated person is reasonably expected to have possession of unpublished price sensitive information.</w:t>
      </w:r>
    </w:p>
    <w:p w:rsidR="00000000" w:rsidDel="00000000" w:rsidP="00000000" w:rsidRDefault="00000000" w:rsidRPr="00000000" w14:paraId="000000B3">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widowControl w:val="1"/>
        <w:numPr>
          <w:ilvl w:val="0"/>
          <w:numId w:val="7"/>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Compliance Officer shall also close the trading window when he / she determines that a </w:t>
      </w:r>
      <w:r w:rsidDel="00000000" w:rsidR="00000000" w:rsidRPr="00000000">
        <w:rPr>
          <w:rFonts w:ascii="Times New Roman" w:cs="Times New Roman" w:eastAsia="Times New Roman" w:hAnsi="Times New Roman"/>
          <w:b w:val="1"/>
          <w:rtl w:val="0"/>
        </w:rPr>
        <w:t xml:space="preserve">designated person</w:t>
      </w:r>
      <w:r w:rsidDel="00000000" w:rsidR="00000000" w:rsidRPr="00000000">
        <w:rPr>
          <w:rFonts w:ascii="Times New Roman" w:cs="Times New Roman" w:eastAsia="Times New Roman" w:hAnsi="Times New Roman"/>
          <w:rtl w:val="0"/>
        </w:rPr>
        <w:t xml:space="preserve"> or class of designated persons can reasonably be </w:t>
      </w:r>
      <w:r w:rsidDel="00000000" w:rsidR="00000000" w:rsidRPr="00000000">
        <w:rPr>
          <w:rFonts w:ascii="Times New Roman" w:cs="Times New Roman" w:eastAsia="Times New Roman" w:hAnsi="Times New Roman"/>
          <w:b w:val="1"/>
          <w:rtl w:val="0"/>
        </w:rPr>
        <w:t xml:space="preserve">expected </w:t>
      </w:r>
      <w:r w:rsidDel="00000000" w:rsidR="00000000" w:rsidRPr="00000000">
        <w:rPr>
          <w:rFonts w:ascii="Times New Roman" w:cs="Times New Roman" w:eastAsia="Times New Roman" w:hAnsi="Times New Roman"/>
          <w:rtl w:val="0"/>
        </w:rPr>
        <w:t xml:space="preserve">to have possession of </w:t>
      </w:r>
      <w:r w:rsidDel="00000000" w:rsidR="00000000" w:rsidRPr="00000000">
        <w:rPr>
          <w:rFonts w:ascii="Times New Roman" w:cs="Times New Roman" w:eastAsia="Times New Roman" w:hAnsi="Times New Roman"/>
          <w:b w:val="1"/>
          <w:rtl w:val="0"/>
        </w:rPr>
        <w:t xml:space="preserve">unpublished price sensitive information</w:t>
      </w:r>
      <w:r w:rsidDel="00000000" w:rsidR="00000000" w:rsidRPr="00000000">
        <w:rPr>
          <w:rFonts w:ascii="Times New Roman" w:cs="Times New Roman" w:eastAsia="Times New Roman" w:hAnsi="Times New Roman"/>
          <w:rtl w:val="0"/>
        </w:rPr>
        <w:t xml:space="preserve">. Such closure shall be imposed in relation to such securities to which such unpublished price sensitive information relates.</w:t>
      </w:r>
    </w:p>
    <w:p w:rsidR="00000000" w:rsidDel="00000000" w:rsidP="00000000" w:rsidRDefault="00000000" w:rsidRPr="00000000" w14:paraId="000000B5">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widowControl w:val="1"/>
        <w:numPr>
          <w:ilvl w:val="0"/>
          <w:numId w:val="7"/>
        </w:numPr>
        <w:spacing w:after="160"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trading window shall be </w:t>
      </w:r>
      <w:r w:rsidDel="00000000" w:rsidR="00000000" w:rsidRPr="00000000">
        <w:rPr>
          <w:rFonts w:ascii="Times New Roman" w:cs="Times New Roman" w:eastAsia="Times New Roman" w:hAnsi="Times New Roman"/>
          <w:b w:val="1"/>
          <w:rtl w:val="0"/>
        </w:rPr>
        <w:t xml:space="preserve">opened 48 (Forty-Eight) hours</w:t>
      </w:r>
      <w:r w:rsidDel="00000000" w:rsidR="00000000" w:rsidRPr="00000000">
        <w:rPr>
          <w:rFonts w:ascii="Times New Roman" w:cs="Times New Roman" w:eastAsia="Times New Roman" w:hAnsi="Times New Roman"/>
          <w:rtl w:val="0"/>
        </w:rPr>
        <w:t xml:space="preserve"> after the UPSI becomes generally available.</w:t>
      </w:r>
    </w:p>
    <w:p w:rsidR="00000000" w:rsidDel="00000000" w:rsidP="00000000" w:rsidRDefault="00000000" w:rsidRPr="00000000" w14:paraId="000000B7">
      <w:pPr>
        <w:widowControl w:val="1"/>
        <w:spacing w:after="160"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trading window shall also be applicable to any person having c</w:t>
      </w:r>
      <w:r w:rsidDel="00000000" w:rsidR="00000000" w:rsidRPr="00000000">
        <w:rPr>
          <w:rFonts w:ascii="Times New Roman" w:cs="Times New Roman" w:eastAsia="Times New Roman" w:hAnsi="Times New Roman"/>
          <w:b w:val="1"/>
          <w:rtl w:val="0"/>
        </w:rPr>
        <w:t xml:space="preserve">ontractual or fiduciary relation </w:t>
      </w:r>
      <w:r w:rsidDel="00000000" w:rsidR="00000000" w:rsidRPr="00000000">
        <w:rPr>
          <w:rFonts w:ascii="Times New Roman" w:cs="Times New Roman" w:eastAsia="Times New Roman" w:hAnsi="Times New Roman"/>
          <w:rtl w:val="0"/>
        </w:rPr>
        <w:t xml:space="preserve">with Company, such as auditors, accountancy firms, law firms, analysts, insolvency professional entities, consultants, banks etc., assisting or advising Company.</w:t>
      </w:r>
    </w:p>
    <w:p w:rsidR="00000000" w:rsidDel="00000000" w:rsidP="00000000" w:rsidRDefault="00000000" w:rsidRPr="00000000" w14:paraId="000000B8">
      <w:pPr>
        <w:widowControl w:val="1"/>
        <w:numPr>
          <w:ilvl w:val="0"/>
          <w:numId w:val="7"/>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Compliance Officer after taking into account various factors including the UPSI in question becoming generally available and being capable of assimilation by the market, shall decide the timing for </w:t>
      </w:r>
      <w:r w:rsidDel="00000000" w:rsidR="00000000" w:rsidRPr="00000000">
        <w:rPr>
          <w:rFonts w:ascii="Times New Roman" w:cs="Times New Roman" w:eastAsia="Times New Roman" w:hAnsi="Times New Roman"/>
          <w:b w:val="1"/>
          <w:rtl w:val="0"/>
        </w:rPr>
        <w:t xml:space="preserve">re-opening of the trading window</w:t>
      </w:r>
      <w:r w:rsidDel="00000000" w:rsidR="00000000" w:rsidRPr="00000000">
        <w:rPr>
          <w:rFonts w:ascii="Times New Roman" w:cs="Times New Roman" w:eastAsia="Times New Roman" w:hAnsi="Times New Roman"/>
          <w:rtl w:val="0"/>
        </w:rPr>
        <w:t xml:space="preserve">, however in any event it shall not be earlier than</w:t>
      </w:r>
      <w:r w:rsidDel="00000000" w:rsidR="00000000" w:rsidRPr="00000000">
        <w:rPr>
          <w:rFonts w:ascii="Times New Roman" w:cs="Times New Roman" w:eastAsia="Times New Roman" w:hAnsi="Times New Roman"/>
          <w:b w:val="1"/>
          <w:rtl w:val="0"/>
        </w:rPr>
        <w:t xml:space="preserve">48 (Forty-Eight) hours</w:t>
      </w:r>
      <w:r w:rsidDel="00000000" w:rsidR="00000000" w:rsidRPr="00000000">
        <w:rPr>
          <w:rFonts w:ascii="Times New Roman" w:cs="Times New Roman" w:eastAsia="Times New Roman" w:hAnsi="Times New Roman"/>
          <w:rtl w:val="0"/>
        </w:rPr>
        <w:t xml:space="preserve"> after the information becomes generally available.</w:t>
      </w:r>
    </w:p>
    <w:p w:rsidR="00000000" w:rsidDel="00000000" w:rsidP="00000000" w:rsidRDefault="00000000" w:rsidRPr="00000000" w14:paraId="000000B9">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widowControl w:val="1"/>
        <w:numPr>
          <w:ilvl w:val="0"/>
          <w:numId w:val="7"/>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However, subject to the SEBI Act, Rules, and Regulations, in case of </w:t>
      </w:r>
      <w:r w:rsidDel="00000000" w:rsidR="00000000" w:rsidRPr="00000000">
        <w:rPr>
          <w:rFonts w:ascii="Times New Roman" w:cs="Times New Roman" w:eastAsia="Times New Roman" w:hAnsi="Times New Roman"/>
          <w:b w:val="1"/>
          <w:rtl w:val="0"/>
        </w:rPr>
        <w:t xml:space="preserve">ESOP</w:t>
      </w:r>
      <w:r w:rsidDel="00000000" w:rsidR="00000000" w:rsidRPr="00000000">
        <w:rPr>
          <w:rFonts w:ascii="Times New Roman" w:cs="Times New Roman" w:eastAsia="Times New Roman" w:hAnsi="Times New Roman"/>
          <w:rtl w:val="0"/>
        </w:rPr>
        <w:t xml:space="preserve">, exercise of options shall be allowed during the period when the trading window is closed. However, sale of shares allotted on exercise of ESOP’s shall not be allowed when the trading window is closed.</w:t>
      </w:r>
    </w:p>
    <w:p w:rsidR="00000000" w:rsidDel="00000000" w:rsidP="00000000" w:rsidRDefault="00000000" w:rsidRPr="00000000" w14:paraId="000000BB">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widowControl w:val="1"/>
        <w:numPr>
          <w:ilvl w:val="0"/>
          <w:numId w:val="7"/>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Creation of pledge</w:t>
      </w:r>
      <w:r w:rsidDel="00000000" w:rsidR="00000000" w:rsidRPr="00000000">
        <w:rPr>
          <w:rFonts w:ascii="Times New Roman" w:cs="Times New Roman" w:eastAsia="Times New Roman" w:hAnsi="Times New Roman"/>
          <w:rtl w:val="0"/>
        </w:rPr>
        <w:t xml:space="preserve"> is allowed when trading window is closed. However, the pledgor or pledgee may demonstrate that the creation of pledge was bona fide and prove their innocence under proviso to sub-regulation (1) of regulation 4 of the Insider Regulation.</w:t>
      </w:r>
    </w:p>
    <w:p w:rsidR="00000000" w:rsidDel="00000000" w:rsidP="00000000" w:rsidRDefault="00000000" w:rsidRPr="00000000" w14:paraId="000000BD">
      <w:pPr>
        <w:widowControl w:val="1"/>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widowControl w:val="1"/>
        <w:numPr>
          <w:ilvl w:val="0"/>
          <w:numId w:val="17"/>
        </w:numPr>
        <w:pBdr>
          <w:bottom w:color="000000" w:space="1" w:sz="4" w:val="single"/>
        </w:pBdr>
        <w:spacing w:line="259"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PRE-CLEARANCE OF TRADES</w:t>
      </w:r>
    </w:p>
    <w:p w:rsidR="00000000" w:rsidDel="00000000" w:rsidP="00000000" w:rsidRDefault="00000000" w:rsidRPr="00000000" w14:paraId="000000BF">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widowControl w:val="1"/>
        <w:numPr>
          <w:ilvl w:val="0"/>
          <w:numId w:val="8"/>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Designated Persons who intend to trade in the </w:t>
      </w:r>
      <w:r w:rsidDel="00000000" w:rsidR="00000000" w:rsidRPr="00000000">
        <w:rPr>
          <w:rFonts w:ascii="Times New Roman" w:cs="Times New Roman" w:eastAsia="Times New Roman" w:hAnsi="Times New Roman"/>
          <w:b w:val="1"/>
          <w:rtl w:val="0"/>
        </w:rPr>
        <w:t xml:space="preserve">securities of Company</w:t>
      </w:r>
      <w:r w:rsidDel="00000000" w:rsidR="00000000" w:rsidRPr="00000000">
        <w:rPr>
          <w:rFonts w:ascii="Times New Roman" w:cs="Times New Roman" w:eastAsia="Times New Roman" w:hAnsi="Times New Roman"/>
          <w:rtl w:val="0"/>
        </w:rPr>
        <w:t xml:space="preserve"> (either in their own name or in any immediate relative’s name) i.e., buy or sell securities and if value of the securities likely to be traded, whether in one transaction or a series of transactions in calendar quarter, aggregates to a traded value in excess of </w:t>
      </w:r>
      <w:r w:rsidDel="00000000" w:rsidR="00000000" w:rsidRPr="00000000">
        <w:rPr>
          <w:rFonts w:ascii="Times New Roman" w:cs="Times New Roman" w:eastAsia="Times New Roman" w:hAnsi="Times New Roman"/>
          <w:b w:val="1"/>
          <w:rtl w:val="0"/>
        </w:rPr>
        <w:t xml:space="preserve">Rs. 10,00,000 (Rupees Ten Lakh Only),</w:t>
      </w:r>
      <w:r w:rsidDel="00000000" w:rsidR="00000000" w:rsidRPr="00000000">
        <w:rPr>
          <w:rFonts w:ascii="Times New Roman" w:cs="Times New Roman" w:eastAsia="Times New Roman" w:hAnsi="Times New Roman"/>
          <w:rtl w:val="0"/>
        </w:rPr>
        <w:t xml:space="preserve"> shall make an application for pre-clearance in the format set out in </w:t>
      </w:r>
      <w:r w:rsidDel="00000000" w:rsidR="00000000" w:rsidRPr="00000000">
        <w:rPr>
          <w:rFonts w:ascii="Times New Roman" w:cs="Times New Roman" w:eastAsia="Times New Roman" w:hAnsi="Times New Roman"/>
          <w:b w:val="1"/>
          <w:rtl w:val="0"/>
        </w:rPr>
        <w:t xml:space="preserve">Annexure A</w:t>
      </w:r>
      <w:r w:rsidDel="00000000" w:rsidR="00000000" w:rsidRPr="00000000">
        <w:rPr>
          <w:rFonts w:ascii="Times New Roman" w:cs="Times New Roman" w:eastAsia="Times New Roman" w:hAnsi="Times New Roman"/>
          <w:rtl w:val="0"/>
        </w:rPr>
        <w:t xml:space="preserve"> to the Compliance Officer indicating the estimated number of units of securities that the designated person or immediate relative(s) intends to trade, the details as to the depository with which he / she has a security account, the details as to the securities in such depository mode and such other details as specified in the form and also declare that the applicant is not in possession of unpublished price sensitive information.</w:t>
      </w:r>
    </w:p>
    <w:p w:rsidR="00000000" w:rsidDel="00000000" w:rsidP="00000000" w:rsidRDefault="00000000" w:rsidRPr="00000000" w14:paraId="000000C1">
      <w:pPr>
        <w:widowControl w:val="1"/>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Provided that</w:t>
      </w:r>
      <w:r w:rsidDel="00000000" w:rsidR="00000000" w:rsidRPr="00000000">
        <w:rPr>
          <w:rFonts w:ascii="Times New Roman" w:cs="Times New Roman" w:eastAsia="Times New Roman" w:hAnsi="Times New Roman"/>
          <w:rtl w:val="0"/>
        </w:rPr>
        <w:t xml:space="preserve"> the pre-clearance is not applicable for subscription to the stock grants upon its vesting. However, for any subsequent sale of shares acquired under </w:t>
      </w:r>
      <w:r w:rsidDel="00000000" w:rsidR="00000000" w:rsidRPr="00000000">
        <w:rPr>
          <w:rFonts w:ascii="Times New Roman" w:cs="Times New Roman" w:eastAsia="Times New Roman" w:hAnsi="Times New Roman"/>
          <w:b w:val="1"/>
          <w:rtl w:val="0"/>
        </w:rPr>
        <w:t xml:space="preserve">ESOP scheme</w:t>
      </w:r>
      <w:r w:rsidDel="00000000" w:rsidR="00000000" w:rsidRPr="00000000">
        <w:rPr>
          <w:rFonts w:ascii="Times New Roman" w:cs="Times New Roman" w:eastAsia="Times New Roman" w:hAnsi="Times New Roman"/>
          <w:rtl w:val="0"/>
        </w:rPr>
        <w:t xml:space="preserve">, pre-clearance shall be applicable as per limits prescribed as above</w:t>
      </w:r>
    </w:p>
    <w:p w:rsidR="00000000" w:rsidDel="00000000" w:rsidP="00000000" w:rsidRDefault="00000000" w:rsidRPr="00000000" w14:paraId="000000C2">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widowControl w:val="1"/>
        <w:numPr>
          <w:ilvl w:val="0"/>
          <w:numId w:val="8"/>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designated person shall apply for pre-clearance of any proposed trade, if such designated person is in possession of unpublished price sensitive information even if the trading window is not closed.</w:t>
      </w:r>
    </w:p>
    <w:p w:rsidR="00000000" w:rsidDel="00000000" w:rsidP="00000000" w:rsidRDefault="00000000" w:rsidRPr="00000000" w14:paraId="000000C4">
      <w:pPr>
        <w:widowControl w:val="1"/>
        <w:spacing w:line="259" w:lineRule="auto"/>
        <w:ind w:left="54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widowControl w:val="1"/>
        <w:numPr>
          <w:ilvl w:val="0"/>
          <w:numId w:val="8"/>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Compliance Officer shall also determine whether any such declaration is reasonably capable of being rendered inaccurate.</w:t>
      </w:r>
    </w:p>
    <w:p w:rsidR="00000000" w:rsidDel="00000000" w:rsidP="00000000" w:rsidRDefault="00000000" w:rsidRPr="00000000" w14:paraId="000000C6">
      <w:pPr>
        <w:widowControl w:val="1"/>
        <w:spacing w:line="259" w:lineRule="auto"/>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widowControl w:val="1"/>
        <w:numPr>
          <w:ilvl w:val="0"/>
          <w:numId w:val="8"/>
        </w:numPr>
        <w:spacing w:line="259"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Designated Persons of Company and their immediate relatives shall execute their order in respect of securities of Company, </w:t>
      </w:r>
      <w:r w:rsidDel="00000000" w:rsidR="00000000" w:rsidRPr="00000000">
        <w:rPr>
          <w:rFonts w:ascii="Times New Roman" w:cs="Times New Roman" w:eastAsia="Times New Roman" w:hAnsi="Times New Roman"/>
          <w:b w:val="1"/>
          <w:rtl w:val="0"/>
        </w:rPr>
        <w:t xml:space="preserve">within 7 (seven) trading days</w:t>
      </w:r>
      <w:r w:rsidDel="00000000" w:rsidR="00000000" w:rsidRPr="00000000">
        <w:rPr>
          <w:rFonts w:ascii="Times New Roman" w:cs="Times New Roman" w:eastAsia="Times New Roman" w:hAnsi="Times New Roman"/>
          <w:rtl w:val="0"/>
        </w:rPr>
        <w:t xml:space="preserve"> after the approval of pre-clearance is given. If the order is not executed </w:t>
      </w:r>
      <w:r w:rsidDel="00000000" w:rsidR="00000000" w:rsidRPr="00000000">
        <w:rPr>
          <w:rFonts w:ascii="Times New Roman" w:cs="Times New Roman" w:eastAsia="Times New Roman" w:hAnsi="Times New Roman"/>
          <w:b w:val="1"/>
          <w:rtl w:val="0"/>
        </w:rPr>
        <w:t xml:space="preserve">within 7 (seven) trading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days</w:t>
      </w:r>
      <w:r w:rsidDel="00000000" w:rsidR="00000000" w:rsidRPr="00000000">
        <w:rPr>
          <w:rFonts w:ascii="Times New Roman" w:cs="Times New Roman" w:eastAsia="Times New Roman" w:hAnsi="Times New Roman"/>
          <w:rtl w:val="0"/>
        </w:rPr>
        <w:t xml:space="preserve"> after the approval is given, the employee must obtain the pre-clearance for the transaction again.</w:t>
      </w:r>
    </w:p>
    <w:p w:rsidR="00000000" w:rsidDel="00000000" w:rsidP="00000000" w:rsidRDefault="00000000" w:rsidRPr="00000000" w14:paraId="000000C8">
      <w:pPr>
        <w:widowControl w:val="1"/>
        <w:spacing w:line="259"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widowControl w:val="1"/>
        <w:spacing w:line="259"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widowControl w:val="1"/>
        <w:spacing w:line="259"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widowControl w:val="1"/>
        <w:spacing w:line="259"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widowControl w:val="1"/>
        <w:numPr>
          <w:ilvl w:val="0"/>
          <w:numId w:val="17"/>
        </w:numPr>
        <w:pBdr>
          <w:bottom w:color="000000" w:space="1" w:sz="4" w:val="single"/>
        </w:pBdr>
        <w:spacing w:line="259"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REPORTING REQUIREMENT</w:t>
      </w:r>
    </w:p>
    <w:p w:rsidR="00000000" w:rsidDel="00000000" w:rsidP="00000000" w:rsidRDefault="00000000" w:rsidRPr="00000000" w14:paraId="000000CD">
      <w:pPr>
        <w:widowControl w:val="1"/>
        <w:spacing w:line="259" w:lineRule="auto"/>
        <w:ind w:left="109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widowControl w:val="1"/>
        <w:numPr>
          <w:ilvl w:val="1"/>
          <w:numId w:val="17"/>
        </w:numPr>
        <w:spacing w:line="259" w:lineRule="auto"/>
        <w:ind w:left="540" w:hanging="37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Initial Disclosure </w:t>
      </w:r>
    </w:p>
    <w:p w:rsidR="00000000" w:rsidDel="00000000" w:rsidP="00000000" w:rsidRDefault="00000000" w:rsidRPr="00000000" w14:paraId="000000CF">
      <w:pPr>
        <w:widowControl w:val="1"/>
        <w:spacing w:line="259" w:lineRule="auto"/>
        <w:ind w:left="540" w:hanging="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person on appointment as a key managerial personnel or a director of the company or upon becoming a promoter or member of the promoter group shall disclose his  holding  of  securities  of  the  company  as  </w:t>
      </w:r>
      <w:r w:rsidDel="00000000" w:rsidR="00000000" w:rsidRPr="00000000">
        <w:rPr>
          <w:rFonts w:ascii="Times New Roman" w:cs="Times New Roman" w:eastAsia="Times New Roman" w:hAnsi="Times New Roman"/>
          <w:b w:val="1"/>
          <w:rtl w:val="0"/>
        </w:rPr>
        <w:t xml:space="preserve">on  the  date  of  appointment  or becoming</w:t>
      </w:r>
      <w:r w:rsidDel="00000000" w:rsidR="00000000" w:rsidRPr="00000000">
        <w:rPr>
          <w:rFonts w:ascii="Times New Roman" w:cs="Times New Roman" w:eastAsia="Times New Roman" w:hAnsi="Times New Roman"/>
          <w:rtl w:val="0"/>
        </w:rPr>
        <w:t xml:space="preserve">  a  promoter,  to  the  company  </w:t>
      </w:r>
      <w:r w:rsidDel="00000000" w:rsidR="00000000" w:rsidRPr="00000000">
        <w:rPr>
          <w:rFonts w:ascii="Times New Roman" w:cs="Times New Roman" w:eastAsia="Times New Roman" w:hAnsi="Times New Roman"/>
          <w:b w:val="1"/>
          <w:rtl w:val="0"/>
        </w:rPr>
        <w:t xml:space="preserve">within  seven  days</w:t>
      </w:r>
      <w:r w:rsidDel="00000000" w:rsidR="00000000" w:rsidRPr="00000000">
        <w:rPr>
          <w:rFonts w:ascii="Times New Roman" w:cs="Times New Roman" w:eastAsia="Times New Roman" w:hAnsi="Times New Roman"/>
          <w:rtl w:val="0"/>
        </w:rPr>
        <w:t xml:space="preserve">  of  such  appointment or becoming a promoter.</w:t>
      </w:r>
    </w:p>
    <w:p w:rsidR="00000000" w:rsidDel="00000000" w:rsidP="00000000" w:rsidRDefault="00000000" w:rsidRPr="00000000" w14:paraId="000000D0">
      <w:pPr>
        <w:widowControl w:val="1"/>
        <w:spacing w:line="259" w:lineRule="auto"/>
        <w:ind w:left="540" w:hanging="3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widowControl w:val="1"/>
        <w:numPr>
          <w:ilvl w:val="1"/>
          <w:numId w:val="17"/>
        </w:numPr>
        <w:spacing w:line="259" w:lineRule="auto"/>
        <w:ind w:left="540" w:hanging="37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Continual Disclosures</w:t>
      </w:r>
    </w:p>
    <w:p w:rsidR="00000000" w:rsidDel="00000000" w:rsidP="00000000" w:rsidRDefault="00000000" w:rsidRPr="00000000" w14:paraId="000000D2">
      <w:pPr>
        <w:widowControl w:val="1"/>
        <w:numPr>
          <w:ilvl w:val="0"/>
          <w:numId w:val="21"/>
        </w:numPr>
        <w:spacing w:line="259" w:lineRule="auto"/>
        <w:ind w:left="810" w:hanging="28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Every promoter, member of the promoter group, designated person and director of  every  company  shall  </w:t>
      </w:r>
      <w:r w:rsidDel="00000000" w:rsidR="00000000" w:rsidRPr="00000000">
        <w:rPr>
          <w:rFonts w:ascii="Times New Roman" w:cs="Times New Roman" w:eastAsia="Times New Roman" w:hAnsi="Times New Roman"/>
          <w:b w:val="1"/>
          <w:rtl w:val="0"/>
        </w:rPr>
        <w:t xml:space="preserve">disclose</w:t>
      </w:r>
      <w:r w:rsidDel="00000000" w:rsidR="00000000" w:rsidRPr="00000000">
        <w:rPr>
          <w:rFonts w:ascii="Times New Roman" w:cs="Times New Roman" w:eastAsia="Times New Roman" w:hAnsi="Times New Roman"/>
          <w:rtl w:val="0"/>
        </w:rPr>
        <w:t xml:space="preserve">  to  the  company  the  number  of  such securities  acquired  or  disposed of </w:t>
      </w:r>
      <w:r w:rsidDel="00000000" w:rsidR="00000000" w:rsidRPr="00000000">
        <w:rPr>
          <w:rFonts w:ascii="Times New Roman" w:cs="Times New Roman" w:eastAsia="Times New Roman" w:hAnsi="Times New Roman"/>
          <w:b w:val="1"/>
          <w:rtl w:val="0"/>
        </w:rPr>
        <w:t xml:space="preserve">within two trading  days</w:t>
      </w:r>
      <w:r w:rsidDel="00000000" w:rsidR="00000000" w:rsidRPr="00000000">
        <w:rPr>
          <w:rFonts w:ascii="Times New Roman" w:cs="Times New Roman" w:eastAsia="Times New Roman" w:hAnsi="Times New Roman"/>
          <w:rtl w:val="0"/>
        </w:rPr>
        <w:t xml:space="preserve">  of  such  transaction if the value of the securities  traded,  whether  in  one  transaction  or a series of transactions over any calendar quarter, aggregates to a traded value </w:t>
      </w:r>
      <w:r w:rsidDel="00000000" w:rsidR="00000000" w:rsidRPr="00000000">
        <w:rPr>
          <w:rFonts w:ascii="Times New Roman" w:cs="Times New Roman" w:eastAsia="Times New Roman" w:hAnsi="Times New Roman"/>
          <w:b w:val="1"/>
          <w:rtl w:val="0"/>
        </w:rPr>
        <w:t xml:space="preserve">in excess of ten lakh rupees</w:t>
      </w:r>
      <w:r w:rsidDel="00000000" w:rsidR="00000000" w:rsidRPr="00000000">
        <w:rPr>
          <w:rFonts w:ascii="Times New Roman" w:cs="Times New Roman" w:eastAsia="Times New Roman" w:hAnsi="Times New Roman"/>
          <w:rtl w:val="0"/>
        </w:rPr>
        <w:t xml:space="preserve"> or such other value as may be specified;</w:t>
      </w:r>
      <w:r w:rsidDel="00000000" w:rsidR="00000000" w:rsidRPr="00000000">
        <w:rPr>
          <w:rtl w:val="0"/>
        </w:rPr>
      </w:r>
    </w:p>
    <w:p w:rsidR="00000000" w:rsidDel="00000000" w:rsidP="00000000" w:rsidRDefault="00000000" w:rsidRPr="00000000" w14:paraId="000000D3">
      <w:pPr>
        <w:widowControl w:val="1"/>
        <w:spacing w:line="259" w:lineRule="auto"/>
        <w:ind w:left="810" w:hanging="28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widowControl w:val="1"/>
        <w:numPr>
          <w:ilvl w:val="0"/>
          <w:numId w:val="21"/>
        </w:numPr>
        <w:spacing w:line="259" w:lineRule="auto"/>
        <w:ind w:left="81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company shall notify the particulars of such trading to the stock exchange on which the securities are listed within two trading days of receipt of the disclosure or from becoming aware of such information.</w:t>
      </w:r>
    </w:p>
    <w:p w:rsidR="00000000" w:rsidDel="00000000" w:rsidP="00000000" w:rsidRDefault="00000000" w:rsidRPr="00000000" w14:paraId="000000D5">
      <w:pPr>
        <w:widowControl w:val="1"/>
        <w:spacing w:line="259" w:lineRule="auto"/>
        <w:ind w:left="810" w:hanging="28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widowControl w:val="1"/>
        <w:numPr>
          <w:ilvl w:val="0"/>
          <w:numId w:val="21"/>
        </w:numPr>
        <w:spacing w:line="259" w:lineRule="auto"/>
        <w:ind w:left="81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above disclosures shall be made in such form and such manner as may be specified by the Board from time to time. </w:t>
      </w:r>
    </w:p>
    <w:p w:rsidR="00000000" w:rsidDel="00000000" w:rsidP="00000000" w:rsidRDefault="00000000" w:rsidRPr="00000000" w14:paraId="000000D7">
      <w:pPr>
        <w:widowControl w:val="1"/>
        <w:spacing w:line="259" w:lineRule="auto"/>
        <w:ind w:left="810" w:hanging="28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widowControl w:val="1"/>
        <w:numPr>
          <w:ilvl w:val="0"/>
          <w:numId w:val="17"/>
        </w:numPr>
        <w:pBdr>
          <w:bottom w:color="000000" w:space="1" w:sz="4" w:val="single"/>
        </w:pBdr>
        <w:spacing w:line="259" w:lineRule="auto"/>
        <w:ind w:left="360" w:hanging="36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PENALTIES FOR CONTRAVENTION:</w:t>
      </w:r>
    </w:p>
    <w:p w:rsidR="00000000" w:rsidDel="00000000" w:rsidP="00000000" w:rsidRDefault="00000000" w:rsidRPr="00000000" w14:paraId="000000D9">
      <w:pPr>
        <w:widowControl w:val="1"/>
        <w:spacing w:line="259" w:lineRule="auto"/>
        <w:jc w:val="both"/>
        <w:rPr>
          <w:rFonts w:ascii="Times New Roman" w:cs="Times New Roman" w:eastAsia="Times New Roman" w:hAnsi="Times New Roman"/>
          <w:color w:val="70ad47"/>
          <w:sz w:val="23"/>
          <w:szCs w:val="23"/>
        </w:rPr>
      </w:pPr>
      <w:r w:rsidDel="00000000" w:rsidR="00000000" w:rsidRPr="00000000">
        <w:rPr>
          <w:rFonts w:ascii="Times New Roman" w:cs="Times New Roman" w:eastAsia="Times New Roman" w:hAnsi="Times New Roman"/>
          <w:sz w:val="23"/>
          <w:szCs w:val="23"/>
          <w:rtl w:val="0"/>
        </w:rPr>
        <w:t xml:space="preserve">As per Section 15G of Securities and Exchange Board of India Act, 1992</w:t>
      </w:r>
      <w:r w:rsidDel="00000000" w:rsidR="00000000" w:rsidRPr="00000000">
        <w:rPr>
          <w:rtl w:val="0"/>
        </w:rPr>
      </w:r>
    </w:p>
    <w:p w:rsidR="00000000" w:rsidDel="00000000" w:rsidP="00000000" w:rsidRDefault="00000000" w:rsidRPr="00000000" w14:paraId="000000DA">
      <w:pPr>
        <w:widowControl w:val="1"/>
        <w:spacing w:line="259" w:lineRule="auto"/>
        <w:ind w:left="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If any insider who,</w:t>
      </w:r>
    </w:p>
    <w:p w:rsidR="00000000" w:rsidDel="00000000" w:rsidP="00000000" w:rsidRDefault="00000000" w:rsidRPr="00000000" w14:paraId="000000DB">
      <w:pPr>
        <w:widowControl w:val="1"/>
        <w:spacing w:line="259" w:lineRule="auto"/>
        <w:ind w:left="567"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C">
      <w:pPr>
        <w:widowControl w:val="1"/>
        <w:numPr>
          <w:ilvl w:val="1"/>
          <w:numId w:val="10"/>
        </w:numPr>
        <w:spacing w:line="259" w:lineRule="auto"/>
        <w:ind w:left="540" w:hanging="435"/>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either on his own behalf or on behalf of any other person, deals in securities of a body corporate listed on any stock exchange on the basis of any unpublished price-sensitive information; or</w:t>
      </w:r>
    </w:p>
    <w:p w:rsidR="00000000" w:rsidDel="00000000" w:rsidP="00000000" w:rsidRDefault="00000000" w:rsidRPr="00000000" w14:paraId="000000DD">
      <w:pPr>
        <w:widowControl w:val="1"/>
        <w:spacing w:line="259" w:lineRule="auto"/>
        <w:ind w:left="540" w:hanging="435"/>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E">
      <w:pPr>
        <w:widowControl w:val="1"/>
        <w:numPr>
          <w:ilvl w:val="1"/>
          <w:numId w:val="10"/>
        </w:numPr>
        <w:spacing w:line="259" w:lineRule="auto"/>
        <w:ind w:left="540" w:hanging="435"/>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communicates any unpublished price-sensitive information to any person, with or without his request for such information except as required in the ordinary course of business or under any law; or</w:t>
      </w:r>
    </w:p>
    <w:p w:rsidR="00000000" w:rsidDel="00000000" w:rsidP="00000000" w:rsidRDefault="00000000" w:rsidRPr="00000000" w14:paraId="000000DF">
      <w:pPr>
        <w:widowControl w:val="1"/>
        <w:spacing w:line="259" w:lineRule="auto"/>
        <w:ind w:left="540" w:hanging="435"/>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0">
      <w:pPr>
        <w:widowControl w:val="1"/>
        <w:numPr>
          <w:ilvl w:val="1"/>
          <w:numId w:val="10"/>
        </w:numPr>
        <w:spacing w:line="259" w:lineRule="auto"/>
        <w:ind w:left="540" w:hanging="435"/>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counsels, or procures for any other person to deal in any securities of any body corporate on the basis of unpublished price-sensitive information, shall be liable to a penalty [which shall not be less than ten lakh rupees but which may extend to twenty-five crore rupees or three times the amount of profits made out of insider trading, whichever is higher].</w:t>
      </w:r>
    </w:p>
    <w:p w:rsidR="00000000" w:rsidDel="00000000" w:rsidP="00000000" w:rsidRDefault="00000000" w:rsidRPr="00000000" w14:paraId="000000E1">
      <w:pPr>
        <w:widowControl w:val="1"/>
        <w:spacing w:line="259" w:lineRule="auto"/>
        <w:ind w:left="180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2">
      <w:pPr>
        <w:widowControl w:val="1"/>
        <w:spacing w:line="259" w:lineRule="auto"/>
        <w:ind w:left="180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3">
      <w:pPr>
        <w:widowControl w:val="1"/>
        <w:spacing w:line="259" w:lineRule="auto"/>
        <w:ind w:left="180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4">
      <w:pPr>
        <w:widowControl w:val="1"/>
        <w:spacing w:line="259" w:lineRule="auto"/>
        <w:ind w:left="180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5">
      <w:pPr>
        <w:widowControl w:val="1"/>
        <w:spacing w:line="259" w:lineRule="auto"/>
        <w:ind w:left="180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6">
      <w:pPr>
        <w:widowControl w:val="1"/>
        <w:spacing w:line="259" w:lineRule="auto"/>
        <w:ind w:left="180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7">
      <w:pPr>
        <w:widowControl w:val="1"/>
        <w:spacing w:line="259" w:lineRule="auto"/>
        <w:ind w:left="180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8">
      <w:pPr>
        <w:widowControl w:val="1"/>
        <w:spacing w:line="259" w:lineRule="auto"/>
        <w:ind w:left="180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9">
      <w:pPr>
        <w:widowControl w:val="1"/>
        <w:spacing w:line="259" w:lineRule="auto"/>
        <w:ind w:left="180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A">
      <w:pPr>
        <w:widowControl w:val="1"/>
        <w:spacing w:line="259" w:lineRule="auto"/>
        <w:ind w:left="163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widowControl w:val="1"/>
        <w:numPr>
          <w:ilvl w:val="0"/>
          <w:numId w:val="17"/>
        </w:numPr>
        <w:pBdr>
          <w:bottom w:color="000000" w:space="1" w:sz="4" w:val="single"/>
        </w:pBdr>
        <w:spacing w:after="160" w:line="259"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AMENDMENT TO THIS CODE</w:t>
      </w:r>
    </w:p>
    <w:p w:rsidR="00000000" w:rsidDel="00000000" w:rsidP="00000000" w:rsidRDefault="00000000" w:rsidRPr="00000000" w14:paraId="000000EC">
      <w:pPr>
        <w:widowControl w:val="1"/>
        <w:tabs>
          <w:tab w:val="left" w:leader="none" w:pos="567"/>
        </w:tabs>
        <w:spacing w:after="160"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Directors (including Management Committee of the Board of Directors) is authorised to change/amend this Code from time to time at its sole discretion and/or in pursuance of any amendments made in the SEBI (Prohibition of Insider Trading) Regulations, 2015.</w:t>
      </w:r>
    </w:p>
    <w:p w:rsidR="00000000" w:rsidDel="00000000" w:rsidP="00000000" w:rsidRDefault="00000000" w:rsidRPr="00000000" w14:paraId="000000ED">
      <w:pPr>
        <w:widowControl w:val="1"/>
        <w:spacing w:after="160" w:line="259" w:lineRule="auto"/>
        <w:ind w:lef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and on Behalf of Board of Directors</w:t>
      </w:r>
    </w:p>
    <w:p w:rsidR="00000000" w:rsidDel="00000000" w:rsidP="00000000" w:rsidRDefault="00000000" w:rsidRPr="00000000" w14:paraId="000000EF">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Exim Routes Limited</w:t>
      </w:r>
    </w:p>
    <w:p w:rsidR="00000000" w:rsidDel="00000000" w:rsidP="00000000" w:rsidRDefault="00000000" w:rsidRPr="00000000" w14:paraId="000000F0">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1966278" cy="714375"/>
            <wp:effectExtent b="0" l="0" r="0" t="0"/>
            <wp:docPr id="212373513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66278"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Manish Goyal</w:t>
      </w:r>
    </w:p>
    <w:p w:rsidR="00000000" w:rsidDel="00000000" w:rsidP="00000000" w:rsidRDefault="00000000" w:rsidRPr="00000000" w14:paraId="000000F3">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CEO &amp; Director</w:t>
      </w:r>
    </w:p>
    <w:p w:rsidR="00000000" w:rsidDel="00000000" w:rsidP="00000000" w:rsidRDefault="00000000" w:rsidRPr="00000000" w14:paraId="000000F4">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DIN: 08126341</w:t>
      </w:r>
    </w:p>
    <w:p w:rsidR="00000000" w:rsidDel="00000000" w:rsidP="00000000" w:rsidRDefault="00000000" w:rsidRPr="00000000" w14:paraId="000000F5">
      <w:pPr>
        <w:widowControl w:val="1"/>
        <w:spacing w:after="160" w:line="259" w:lineRule="auto"/>
        <w:ind w:left="0" w:firstLine="0"/>
        <w:jc w:val="both"/>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F6">
      <w:pPr>
        <w:widowControl w:val="1"/>
        <w:spacing w:after="160" w:line="259" w:lineRule="auto"/>
        <w:ind w:lef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widowControl w:val="1"/>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ANNEXURE-1</w:t>
      </w:r>
    </w:p>
    <w:p w:rsidR="00000000" w:rsidDel="00000000" w:rsidP="00000000" w:rsidRDefault="00000000" w:rsidRPr="00000000" w14:paraId="000000F8">
      <w:pPr>
        <w:widowControl w:val="1"/>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APPLICATION FOR PRE-TRADING APPROVAL</w:t>
      </w:r>
    </w:p>
    <w:p w:rsidR="00000000" w:rsidDel="00000000" w:rsidP="00000000" w:rsidRDefault="00000000" w:rsidRPr="00000000" w14:paraId="000000F9">
      <w:pPr>
        <w:widowControl w:val="1"/>
        <w:spacing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widowControl w:val="1"/>
        <w:spacing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B">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t>
      </w:r>
    </w:p>
    <w:p w:rsidR="00000000" w:rsidDel="00000000" w:rsidP="00000000" w:rsidRDefault="00000000" w:rsidRPr="00000000" w14:paraId="000000FC">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Compliance Officer, </w:t>
      </w:r>
    </w:p>
    <w:p w:rsidR="00000000" w:rsidDel="00000000" w:rsidP="00000000" w:rsidRDefault="00000000" w:rsidRPr="00000000" w14:paraId="000000FD">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Exim Routes Limited </w:t>
      </w:r>
      <w:r w:rsidDel="00000000" w:rsidR="00000000" w:rsidRPr="00000000">
        <w:rPr>
          <w:rFonts w:ascii="Times New Roman" w:cs="Times New Roman" w:eastAsia="Times New Roman" w:hAnsi="Times New Roman"/>
          <w:rtl w:val="0"/>
        </w:rPr>
        <w:t xml:space="preserve">Pursuant to the SEBI (Prohibition of Insider Trading) Regulations, 2015 and the Company’s Insider Trading Policy, I seek approval to purchase / sell / subscribe </w:t>
      </w:r>
      <w:r w:rsidDel="00000000" w:rsidR="00000000" w:rsidRPr="00000000">
        <w:rPr>
          <w:rFonts w:ascii="Times New Roman" w:cs="Times New Roman" w:eastAsia="Times New Roman" w:hAnsi="Times New Roman"/>
          <w:rtl w:val="0"/>
        </w:rPr>
        <w:t xml:space="preserve">_________ equity shares of the Company as per details given below: </w:t>
      </w:r>
    </w:p>
    <w:p w:rsidR="00000000" w:rsidDel="00000000" w:rsidP="00000000" w:rsidRDefault="00000000" w:rsidRPr="00000000" w14:paraId="000000FE">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Name of the applicant</w:t>
        <w:tab/>
        <w:tab/>
        <w:tab/>
        <w:t xml:space="preserve">: </w:t>
      </w:r>
    </w:p>
    <w:p w:rsidR="00000000" w:rsidDel="00000000" w:rsidP="00000000" w:rsidRDefault="00000000" w:rsidRPr="00000000" w14:paraId="00000100">
      <w:pPr>
        <w:widowControl w:val="1"/>
        <w:tabs>
          <w:tab w:val="left" w:leader="none" w:pos="7982"/>
        </w:tabs>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Designation:</w:t>
        <w:tab/>
      </w:r>
    </w:p>
    <w:p w:rsidR="00000000" w:rsidDel="00000000" w:rsidP="00000000" w:rsidRDefault="00000000" w:rsidRPr="00000000" w14:paraId="00000101">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Number of securities held as on date</w:t>
        <w:tab/>
        <w:tab/>
        <w:t xml:space="preserve">:</w:t>
      </w:r>
    </w:p>
    <w:p w:rsidR="00000000" w:rsidDel="00000000" w:rsidP="00000000" w:rsidRDefault="00000000" w:rsidRPr="00000000" w14:paraId="00000102">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Folio No. / DP ID / Client ID No</w:t>
        <w:tab/>
        <w:tab/>
        <w:t xml:space="preserve">:</w:t>
      </w:r>
    </w:p>
    <w:p w:rsidR="00000000" w:rsidDel="00000000" w:rsidP="00000000" w:rsidRDefault="00000000" w:rsidRPr="00000000" w14:paraId="00000103">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The proposal is for</w:t>
        <w:tab/>
        <w:tab/>
        <w:tab/>
        <w:tab/>
        <w:t xml:space="preserve">:                (a) Purchase of securities </w:t>
      </w:r>
    </w:p>
    <w:p w:rsidR="00000000" w:rsidDel="00000000" w:rsidP="00000000" w:rsidRDefault="00000000" w:rsidRPr="00000000" w14:paraId="00000104">
      <w:pPr>
        <w:widowControl w:val="1"/>
        <w:spacing w:line="259" w:lineRule="auto"/>
        <w:ind w:left="4111" w:firstLine="1133.999999999999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Subscription to securities</w:t>
      </w:r>
    </w:p>
    <w:p w:rsidR="00000000" w:rsidDel="00000000" w:rsidP="00000000" w:rsidRDefault="00000000" w:rsidRPr="00000000" w14:paraId="00000105">
      <w:pPr>
        <w:widowControl w:val="1"/>
        <w:spacing w:line="259" w:lineRule="auto"/>
        <w:ind w:firstLine="52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Sale of securities </w:t>
      </w:r>
    </w:p>
    <w:p w:rsidR="00000000" w:rsidDel="00000000" w:rsidP="00000000" w:rsidRDefault="00000000" w:rsidRPr="00000000" w14:paraId="00000106">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Proposed date of trading in securities</w:t>
        <w:tab/>
        <w:tab/>
        <w:t xml:space="preserve">: </w:t>
      </w:r>
    </w:p>
    <w:p w:rsidR="00000000" w:rsidDel="00000000" w:rsidP="00000000" w:rsidRDefault="00000000" w:rsidRPr="00000000" w14:paraId="00000107">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Estimated number of securities proposed</w:t>
      </w:r>
    </w:p>
    <w:p w:rsidR="00000000" w:rsidDel="00000000" w:rsidP="00000000" w:rsidRDefault="00000000" w:rsidRPr="00000000" w14:paraId="00000108">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be purchased/subscribed/sold </w:t>
      </w:r>
    </w:p>
    <w:p w:rsidR="00000000" w:rsidDel="00000000" w:rsidP="00000000" w:rsidRDefault="00000000" w:rsidRPr="00000000" w14:paraId="00000109">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Current market price </w:t>
        <w:tab/>
        <w:tab/>
        <w:tab/>
        <w:tab/>
        <w:t xml:space="preserve">:</w:t>
      </w:r>
    </w:p>
    <w:p w:rsidR="00000000" w:rsidDel="00000000" w:rsidP="00000000" w:rsidRDefault="00000000" w:rsidRPr="00000000" w14:paraId="0000010A">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 on date of application) </w:t>
      </w:r>
    </w:p>
    <w:p w:rsidR="00000000" w:rsidDel="00000000" w:rsidP="00000000" w:rsidRDefault="00000000" w:rsidRPr="00000000" w14:paraId="0000010B">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Whether the proposed transaction will </w:t>
        <w:tab/>
        <w:t xml:space="preserve">:</w:t>
      </w:r>
    </w:p>
    <w:p w:rsidR="00000000" w:rsidDel="00000000" w:rsidP="00000000" w:rsidRDefault="00000000" w:rsidRPr="00000000" w14:paraId="0000010C">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through stock exchange or off-market</w:t>
      </w:r>
    </w:p>
    <w:p w:rsidR="00000000" w:rsidDel="00000000" w:rsidP="00000000" w:rsidRDefault="00000000" w:rsidRPr="00000000" w14:paraId="0000010D">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trade</w:t>
      </w:r>
    </w:p>
    <w:p w:rsidR="00000000" w:rsidDel="00000000" w:rsidP="00000000" w:rsidRDefault="00000000" w:rsidRPr="00000000" w14:paraId="0000010E">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10. Folio No. / DP ID / Client ID No. where </w:t>
        <w:tab/>
        <w:t xml:space="preserve">:</w:t>
      </w:r>
    </w:p>
    <w:p w:rsidR="00000000" w:rsidDel="00000000" w:rsidP="00000000" w:rsidRDefault="00000000" w:rsidRPr="00000000" w14:paraId="0000010F">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securities will be credited / debited. </w:t>
      </w:r>
    </w:p>
    <w:p w:rsidR="00000000" w:rsidDel="00000000" w:rsidP="00000000" w:rsidRDefault="00000000" w:rsidRPr="00000000" w14:paraId="00000110">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widowControl w:val="1"/>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enclose herewith the Undertaking signed by me.</w:t>
      </w:r>
    </w:p>
    <w:p w:rsidR="00000000" w:rsidDel="00000000" w:rsidP="00000000" w:rsidRDefault="00000000" w:rsidRPr="00000000" w14:paraId="00000112">
      <w:pPr>
        <w:widowControl w:val="1"/>
        <w:spacing w:after="160"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widowControl w:val="1"/>
        <w:spacing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 _______________ </w:t>
      </w:r>
    </w:p>
    <w:p w:rsidR="00000000" w:rsidDel="00000000" w:rsidP="00000000" w:rsidRDefault="00000000" w:rsidRPr="00000000" w14:paraId="00000114">
      <w:pPr>
        <w:widowControl w:val="1"/>
        <w:spacing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w:t>
      </w:r>
    </w:p>
    <w:p w:rsidR="00000000" w:rsidDel="00000000" w:rsidP="00000000" w:rsidRDefault="00000000" w:rsidRPr="00000000" w14:paraId="00000115">
      <w:pPr>
        <w:widowControl w:val="1"/>
        <w:spacing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w:t>
      </w:r>
    </w:p>
    <w:p w:rsidR="00000000" w:rsidDel="00000000" w:rsidP="00000000" w:rsidRDefault="00000000" w:rsidRPr="00000000" w14:paraId="00000116">
      <w:pPr>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sectPr>
      <w:headerReference r:id="rId8" w:type="default"/>
      <w:headerReference r:id="rId9" w:type="first"/>
      <w:headerReference r:id="rId10" w:type="even"/>
      <w:footerReference r:id="rId11" w:type="default"/>
      <w:pgSz w:h="16860" w:w="11930" w:orient="portrait"/>
      <w:pgMar w:bottom="280" w:top="700" w:left="1276" w:right="8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Calibri" w:cs="Calibri" w:eastAsia="Calibri" w:hAnsi="Calibri"/>
        <w:b w:val="1"/>
        <w:i w:val="0"/>
        <w:smallCaps w:val="0"/>
        <w:strike w:val="0"/>
        <w:color w:val="1c469c"/>
        <w:sz w:val="44"/>
        <w:szCs w:val="44"/>
        <w:u w:val="single"/>
        <w:shd w:fill="auto" w:val="clear"/>
        <w:vertAlign w:val="baseline"/>
      </w:rPr>
    </w:pPr>
    <w:r w:rsidDel="00000000" w:rsidR="00000000" w:rsidRPr="00000000">
      <w:rPr>
        <w:rFonts w:ascii="Calibri" w:cs="Calibri" w:eastAsia="Calibri" w:hAnsi="Calibri"/>
        <w:b w:val="1"/>
        <w:i w:val="0"/>
        <w:smallCaps w:val="0"/>
        <w:strike w:val="0"/>
        <w:color w:val="1c469c"/>
        <w:sz w:val="44"/>
        <w:szCs w:val="44"/>
        <w:u w:val="single"/>
        <w:shd w:fill="auto" w:val="clear"/>
        <w:vertAlign w:val="baseline"/>
        <w:rtl w:val="0"/>
      </w:rPr>
      <w:t xml:space="preserve">EXIM ROUTES LIMITED</w:t>
    </w:r>
    <w:r w:rsidDel="00000000" w:rsidR="00000000" w:rsidRPr="00000000">
      <w:drawing>
        <wp:anchor allowOverlap="1" behindDoc="1" distB="0" distT="0" distL="0" distR="0" hidden="0" layoutInCell="1" locked="0" relativeHeight="0" simplePos="0">
          <wp:simplePos x="0" y="0"/>
          <wp:positionH relativeFrom="column">
            <wp:posOffset>121285</wp:posOffset>
          </wp:positionH>
          <wp:positionV relativeFrom="paragraph">
            <wp:posOffset>-45716</wp:posOffset>
          </wp:positionV>
          <wp:extent cx="1675130" cy="830580"/>
          <wp:effectExtent b="0" l="0" r="0" t="0"/>
          <wp:wrapNone/>
          <wp:docPr id="21237351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5130" cy="830580"/>
                  </a:xfrm>
                  <a:prstGeom prst="rect"/>
                  <a:ln/>
                </pic:spPr>
              </pic:pic>
            </a:graphicData>
          </a:graphic>
        </wp:anchor>
      </w:drawing>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Times New Roman" w:cs="Times New Roman" w:eastAsia="Times New Roman" w:hAnsi="Times New Roman"/>
        <w:b w:val="0"/>
        <w:i w:val="0"/>
        <w:smallCaps w:val="0"/>
        <w:strike w:val="0"/>
        <w:color w:val="15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51616"/>
        <w:sz w:val="24"/>
        <w:szCs w:val="24"/>
        <w:u w:val="none"/>
        <w:shd w:fill="auto" w:val="clear"/>
        <w:vertAlign w:val="baseline"/>
        <w:rtl w:val="0"/>
      </w:rPr>
      <w:t xml:space="preserve">(Formally Known as Exim Routes Private Limited)</w:t>
    </w:r>
  </w:p>
  <w:p w:rsidR="00000000" w:rsidDel="00000000" w:rsidP="00000000" w:rsidRDefault="00000000" w:rsidRPr="00000000" w14:paraId="0000011A">
    <w:pPr>
      <w:spacing w:before="16" w:line="237" w:lineRule="auto"/>
      <w:ind w:left="3402" w:right="141" w:firstLine="0"/>
      <w:rPr>
        <w:rFonts w:ascii="Times New Roman" w:cs="Times New Roman" w:eastAsia="Times New Roman" w:hAnsi="Times New Roman"/>
        <w:color w:val="151616"/>
        <w:sz w:val="20"/>
        <w:szCs w:val="20"/>
      </w:rPr>
    </w:pPr>
    <w:bookmarkStart w:colFirst="0" w:colLast="0" w:name="_heading=h.gjdgxs" w:id="0"/>
    <w:bookmarkEnd w:id="0"/>
    <w:r w:rsidDel="00000000" w:rsidR="00000000" w:rsidRPr="00000000">
      <w:rPr>
        <w:rFonts w:ascii="Times New Roman" w:cs="Times New Roman" w:eastAsia="Times New Roman" w:hAnsi="Times New Roman"/>
        <w:color w:val="151616"/>
        <w:sz w:val="20"/>
        <w:szCs w:val="20"/>
        <w:rtl w:val="0"/>
      </w:rPr>
      <w:t xml:space="preserve">421, 4th Floor, Suncity Success Tower, Sector-65 Golf Course Road Extension, Gurugram-122101, HR (INDIA), Email: cs.er@eximroutes.in</w:t>
    </w:r>
  </w:p>
  <w:p w:rsidR="00000000" w:rsidDel="00000000" w:rsidP="00000000" w:rsidRDefault="00000000" w:rsidRPr="00000000" w14:paraId="0000011B">
    <w:pPr>
      <w:spacing w:before="16" w:line="237" w:lineRule="auto"/>
      <w:ind w:left="2880" w:right="-315" w:firstLine="521.9999999999999"/>
      <w:rPr/>
    </w:pPr>
    <w:r w:rsidDel="00000000" w:rsidR="00000000" w:rsidRPr="00000000">
      <w:rPr>
        <w:rFonts w:ascii="Times New Roman" w:cs="Times New Roman" w:eastAsia="Times New Roman" w:hAnsi="Times New Roman"/>
        <w:color w:val="151616"/>
        <w:sz w:val="20"/>
        <w:szCs w:val="20"/>
        <w:rtl w:val="0"/>
      </w:rPr>
      <w:t xml:space="preserve">GSTIN: 06AAFCE4612E1Z3 CIN: U51909HR2019PLC115525</w:t>
    </w:r>
    <w:r w:rsidDel="00000000" w:rsidR="00000000" w:rsidRPr="00000000">
      <w:rPr/>
      <w:pict>
        <v:shape id="WordPictureWatermark3" style="position:absolute;width:493.5pt;height:61.5pt;rotation:0;z-index:-503316481;mso-position-horizontal-relative:margin;mso-position-horizontal:center;mso-position-vertical-relative:margin;mso-position-vertical:center;" alt="" type="#_x0000_t75">
          <v:imagedata cropbottom="0f" cropleft="0f" cropright="0f" croptop="0f" r:id="rId2"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18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18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180"/>
      </w:pPr>
      <w:rPr>
        <w:u w:val="none"/>
      </w:rPr>
    </w:lvl>
  </w:abstractNum>
  <w:abstractNum w:abstractNumId="2">
    <w:lvl w:ilvl="0">
      <w:start w:val="1"/>
      <w:numFmt w:val="low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18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18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180"/>
      </w:pPr>
      <w:rPr>
        <w:u w:val="none"/>
      </w:rPr>
    </w:lvl>
  </w:abstractNum>
  <w:abstractNum w:abstractNumId="3">
    <w:lvl w:ilvl="0">
      <w:start w:val="1"/>
      <w:numFmt w:val="lowerRoman"/>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18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18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18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lowerRoman"/>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6">
    <w:lvl w:ilvl="0">
      <w:start w:val="1"/>
      <w:numFmt w:val="decimal"/>
      <w:lvlText w:val="5.%1"/>
      <w:lvlJc w:val="left"/>
      <w:pPr>
        <w:ind w:left="720" w:hanging="360"/>
      </w:pPr>
      <w:rPr>
        <w:u w:val="none"/>
      </w:rPr>
    </w:lvl>
    <w:lvl w:ilvl="1">
      <w:start w:val="1"/>
      <w:numFmt w:val="decimal"/>
      <w:lvlText w:val="%1.%2"/>
      <w:lvlJc w:val="left"/>
      <w:pPr>
        <w:ind w:left="1095" w:hanging="375"/>
      </w:pPr>
      <w:rPr>
        <w:u w:val="none"/>
      </w:rPr>
    </w:lvl>
    <w:lvl w:ilvl="2">
      <w:start w:val="1"/>
      <w:numFmt w:val="decimal"/>
      <w:lvlText w:val="%1.%2.%3"/>
      <w:lvlJc w:val="left"/>
      <w:pPr>
        <w:ind w:left="1800" w:hanging="720"/>
      </w:pPr>
      <w:rPr>
        <w:u w:val="none"/>
      </w:rPr>
    </w:lvl>
    <w:lvl w:ilvl="3">
      <w:start w:val="1"/>
      <w:numFmt w:val="decimal"/>
      <w:lvlText w:val="%1.%2.%3.%4"/>
      <w:lvlJc w:val="left"/>
      <w:pPr>
        <w:ind w:left="2160" w:hanging="720"/>
      </w:pPr>
      <w:rPr>
        <w:u w:val="none"/>
      </w:rPr>
    </w:lvl>
    <w:lvl w:ilvl="4">
      <w:start w:val="1"/>
      <w:numFmt w:val="decimal"/>
      <w:lvlText w:val="%1.%2.%3.%4.%5"/>
      <w:lvlJc w:val="left"/>
      <w:pPr>
        <w:ind w:left="2880" w:hanging="1080"/>
      </w:pPr>
      <w:rPr>
        <w:u w:val="none"/>
      </w:rPr>
    </w:lvl>
    <w:lvl w:ilvl="5">
      <w:start w:val="1"/>
      <w:numFmt w:val="decimal"/>
      <w:lvlText w:val="%1.%2.%3.%4.%5.%6"/>
      <w:lvlJc w:val="left"/>
      <w:pPr>
        <w:ind w:left="3240" w:hanging="1080"/>
      </w:pPr>
      <w:rPr>
        <w:u w:val="none"/>
      </w:rPr>
    </w:lvl>
    <w:lvl w:ilvl="6">
      <w:start w:val="1"/>
      <w:numFmt w:val="decimal"/>
      <w:lvlText w:val="%1.%2.%3.%4.%5.%6.%7"/>
      <w:lvlJc w:val="left"/>
      <w:pPr>
        <w:ind w:left="3960" w:hanging="1440"/>
      </w:pPr>
      <w:rPr>
        <w:u w:val="none"/>
      </w:rPr>
    </w:lvl>
    <w:lvl w:ilvl="7">
      <w:start w:val="1"/>
      <w:numFmt w:val="decimal"/>
      <w:lvlText w:val="%1.%2.%3.%4.%5.%6.%7.%8"/>
      <w:lvlJc w:val="left"/>
      <w:pPr>
        <w:ind w:left="4320" w:hanging="1440"/>
      </w:pPr>
      <w:rPr>
        <w:u w:val="none"/>
      </w:rPr>
    </w:lvl>
    <w:lvl w:ilvl="8">
      <w:start w:val="1"/>
      <w:numFmt w:val="decimal"/>
      <w:lvlText w:val="%1.%2.%3.%4.%5.%6.%7.%8.%9"/>
      <w:lvlJc w:val="left"/>
      <w:pPr>
        <w:ind w:left="4680" w:hanging="1440"/>
      </w:pPr>
      <w:rPr>
        <w:u w:val="none"/>
      </w:rPr>
    </w:lvl>
  </w:abstractNum>
  <w:abstractNum w:abstractNumId="7">
    <w:lvl w:ilvl="0">
      <w:start w:val="1"/>
      <w:numFmt w:val="decimal"/>
      <w:lvlText w:val="7.%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decimal"/>
      <w:lvlText w:val="8.%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lvl w:ilvl="0">
      <w:start w:val="1"/>
      <w:numFmt w:val="upperRoman"/>
      <w:lvlText w:val="%1."/>
      <w:lvlJc w:val="right"/>
      <w:pPr>
        <w:ind w:left="2204" w:hanging="360"/>
      </w:pPr>
      <w:rPr>
        <w:u w:val="none"/>
      </w:rPr>
    </w:lvl>
    <w:lvl w:ilvl="1">
      <w:start w:val="1"/>
      <w:numFmt w:val="lowerLetter"/>
      <w:lvlText w:val="%2."/>
      <w:lvlJc w:val="left"/>
      <w:pPr>
        <w:ind w:left="2924" w:hanging="360"/>
      </w:pPr>
      <w:rPr>
        <w:u w:val="none"/>
      </w:rPr>
    </w:lvl>
    <w:lvl w:ilvl="2">
      <w:start w:val="1"/>
      <w:numFmt w:val="lowerRoman"/>
      <w:lvlText w:val="%3."/>
      <w:lvlJc w:val="right"/>
      <w:pPr>
        <w:ind w:left="3644" w:hanging="180"/>
      </w:pPr>
      <w:rPr>
        <w:u w:val="none"/>
      </w:rPr>
    </w:lvl>
    <w:lvl w:ilvl="3">
      <w:start w:val="1"/>
      <w:numFmt w:val="decimal"/>
      <w:lvlText w:val="%4."/>
      <w:lvlJc w:val="left"/>
      <w:pPr>
        <w:ind w:left="4364" w:hanging="360"/>
      </w:pPr>
      <w:rPr>
        <w:u w:val="none"/>
      </w:rPr>
    </w:lvl>
    <w:lvl w:ilvl="4">
      <w:start w:val="1"/>
      <w:numFmt w:val="lowerLetter"/>
      <w:lvlText w:val="%5."/>
      <w:lvlJc w:val="left"/>
      <w:pPr>
        <w:ind w:left="5084" w:hanging="360"/>
      </w:pPr>
      <w:rPr>
        <w:u w:val="none"/>
      </w:rPr>
    </w:lvl>
    <w:lvl w:ilvl="5">
      <w:start w:val="1"/>
      <w:numFmt w:val="lowerRoman"/>
      <w:lvlText w:val="%6."/>
      <w:lvlJc w:val="right"/>
      <w:pPr>
        <w:ind w:left="5804" w:hanging="180"/>
      </w:pPr>
      <w:rPr>
        <w:u w:val="none"/>
      </w:rPr>
    </w:lvl>
    <w:lvl w:ilvl="6">
      <w:start w:val="1"/>
      <w:numFmt w:val="decimal"/>
      <w:lvlText w:val="%7."/>
      <w:lvlJc w:val="left"/>
      <w:pPr>
        <w:ind w:left="6524" w:hanging="360"/>
      </w:pPr>
      <w:rPr>
        <w:u w:val="none"/>
      </w:rPr>
    </w:lvl>
    <w:lvl w:ilvl="7">
      <w:start w:val="1"/>
      <w:numFmt w:val="lowerLetter"/>
      <w:lvlText w:val="%8."/>
      <w:lvlJc w:val="left"/>
      <w:pPr>
        <w:ind w:left="7244" w:hanging="360"/>
      </w:pPr>
      <w:rPr>
        <w:u w:val="none"/>
      </w:rPr>
    </w:lvl>
    <w:lvl w:ilvl="8">
      <w:start w:val="1"/>
      <w:numFmt w:val="lowerRoman"/>
      <w:lvlText w:val="%9."/>
      <w:lvlJc w:val="right"/>
      <w:pPr>
        <w:ind w:left="7964" w:hanging="180"/>
      </w:pPr>
      <w:rPr>
        <w:u w:val="none"/>
      </w:rPr>
    </w:lvl>
  </w:abstractNum>
  <w:abstractNum w:abstractNumId="10">
    <w:lvl w:ilvl="0">
      <w:start w:val="1"/>
      <w:numFmt w:val="decimal"/>
      <w:lvlText w:val="2.%1."/>
      <w:lvlJc w:val="right"/>
      <w:pPr>
        <w:ind w:left="720" w:hanging="360"/>
      </w:pPr>
      <w:rPr>
        <w:u w:val="none"/>
      </w:rPr>
    </w:lvl>
    <w:lvl w:ilvl="1">
      <w:start w:val="1"/>
      <w:numFmt w:val="lowerRoman"/>
      <w:lvlText w:val="(%2)"/>
      <w:lvlJc w:val="left"/>
      <w:pPr>
        <w:ind w:left="1800" w:hanging="72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1"/>
      <w:numFmt w:val="decimal"/>
      <w:lvlText w:val="4.%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700" w:hanging="72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lvl w:ilvl="0">
      <w:start w:val="1"/>
      <w:numFmt w:val="decimal"/>
      <w:lvlText w:val="6.%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lvl w:ilvl="0">
      <w:start w:val="1"/>
      <w:numFmt w:val="lowerRoman"/>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18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18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180"/>
      </w:pPr>
      <w:rPr>
        <w:u w:val="none"/>
      </w:rPr>
    </w:lvl>
  </w:abstractNum>
  <w:abstractNum w:abstractNumId="16">
    <w:lvl w:ilvl="0">
      <w:start w:val="1"/>
      <w:numFmt w:val="decimal"/>
      <w:lvlText w:val="3.%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lvl w:ilvl="0">
      <w:start w:val="1"/>
      <w:numFmt w:val="decimal"/>
      <w:lvlText w:val="%1."/>
      <w:lvlJc w:val="left"/>
      <w:pPr>
        <w:ind w:left="720" w:hanging="360"/>
      </w:pPr>
      <w:rPr>
        <w:u w:val="none"/>
      </w:rPr>
    </w:lvl>
    <w:lvl w:ilvl="1">
      <w:start w:val="1"/>
      <w:numFmt w:val="decimal"/>
      <w:lvlText w:val="%1.%2"/>
      <w:lvlJc w:val="left"/>
      <w:pPr>
        <w:ind w:left="1095" w:hanging="375"/>
      </w:pPr>
      <w:rPr>
        <w:u w:val="none"/>
      </w:rPr>
    </w:lvl>
    <w:lvl w:ilvl="2">
      <w:start w:val="1"/>
      <w:numFmt w:val="decimal"/>
      <w:lvlText w:val="%1.%2.%3"/>
      <w:lvlJc w:val="left"/>
      <w:pPr>
        <w:ind w:left="1800" w:hanging="720"/>
      </w:pPr>
      <w:rPr>
        <w:u w:val="none"/>
      </w:rPr>
    </w:lvl>
    <w:lvl w:ilvl="3">
      <w:start w:val="1"/>
      <w:numFmt w:val="decimal"/>
      <w:lvlText w:val="%1.%2.%3.%4"/>
      <w:lvlJc w:val="left"/>
      <w:pPr>
        <w:ind w:left="2160" w:hanging="720"/>
      </w:pPr>
      <w:rPr>
        <w:u w:val="none"/>
      </w:rPr>
    </w:lvl>
    <w:lvl w:ilvl="4">
      <w:start w:val="1"/>
      <w:numFmt w:val="decimal"/>
      <w:lvlText w:val="%1.%2.%3.%4.%5"/>
      <w:lvlJc w:val="left"/>
      <w:pPr>
        <w:ind w:left="2880" w:hanging="1080"/>
      </w:pPr>
      <w:rPr>
        <w:u w:val="none"/>
      </w:rPr>
    </w:lvl>
    <w:lvl w:ilvl="5">
      <w:start w:val="1"/>
      <w:numFmt w:val="decimal"/>
      <w:lvlText w:val="%1.%2.%3.%4.%5.%6"/>
      <w:lvlJc w:val="left"/>
      <w:pPr>
        <w:ind w:left="3240" w:hanging="1080"/>
      </w:pPr>
      <w:rPr>
        <w:u w:val="none"/>
      </w:rPr>
    </w:lvl>
    <w:lvl w:ilvl="6">
      <w:start w:val="1"/>
      <w:numFmt w:val="decimal"/>
      <w:lvlText w:val="%1.%2.%3.%4.%5.%6.%7"/>
      <w:lvlJc w:val="left"/>
      <w:pPr>
        <w:ind w:left="3960" w:hanging="1440"/>
      </w:pPr>
      <w:rPr>
        <w:u w:val="none"/>
      </w:rPr>
    </w:lvl>
    <w:lvl w:ilvl="7">
      <w:start w:val="1"/>
      <w:numFmt w:val="decimal"/>
      <w:lvlText w:val="%1.%2.%3.%4.%5.%6.%7.%8"/>
      <w:lvlJc w:val="left"/>
      <w:pPr>
        <w:ind w:left="4320" w:hanging="1440"/>
      </w:pPr>
      <w:rPr>
        <w:u w:val="none"/>
      </w:rPr>
    </w:lvl>
    <w:lvl w:ilvl="8">
      <w:start w:val="1"/>
      <w:numFmt w:val="decimal"/>
      <w:lvlText w:val="%1.%2.%3.%4.%5.%6.%7.%8.%9"/>
      <w:lvlJc w:val="left"/>
      <w:pPr>
        <w:ind w:left="4680" w:hanging="1440"/>
      </w:pPr>
      <w:rPr>
        <w:u w:val="none"/>
      </w:rPr>
    </w:lvl>
  </w:abstractNum>
  <w:abstractNum w:abstractNumId="1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19">
    <w:lvl w:ilvl="0">
      <w:start w:val="1"/>
      <w:numFmt w:val="decimal"/>
      <w:lvlText w:val="1.%1"/>
      <w:lvlJc w:val="left"/>
      <w:pPr>
        <w:ind w:left="720" w:hanging="360"/>
      </w:pPr>
      <w:rPr>
        <w:u w:val="none"/>
      </w:rPr>
    </w:lvl>
    <w:lvl w:ilvl="1">
      <w:start w:val="1"/>
      <w:numFmt w:val="lowerRoman"/>
      <w:lvlText w:val="%2."/>
      <w:lvlJc w:val="left"/>
      <w:pPr>
        <w:ind w:left="1800" w:hanging="72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lvl w:ilvl="0">
      <w:start w:val="1"/>
      <w:numFmt w:val="lowerLetter"/>
      <w:lvlText w:val="%1)"/>
      <w:lvlJc w:val="left"/>
      <w:pPr>
        <w:ind w:left="1484" w:hanging="360"/>
      </w:pPr>
      <w:rPr>
        <w:u w:val="none"/>
      </w:rPr>
    </w:lvl>
    <w:lvl w:ilvl="1">
      <w:start w:val="1"/>
      <w:numFmt w:val="lowerLetter"/>
      <w:lvlText w:val="%2."/>
      <w:lvlJc w:val="left"/>
      <w:pPr>
        <w:ind w:left="2204" w:hanging="360"/>
      </w:pPr>
      <w:rPr>
        <w:u w:val="none"/>
      </w:rPr>
    </w:lvl>
    <w:lvl w:ilvl="2">
      <w:start w:val="1"/>
      <w:numFmt w:val="lowerRoman"/>
      <w:lvlText w:val="%3."/>
      <w:lvlJc w:val="right"/>
      <w:pPr>
        <w:ind w:left="2924" w:hanging="180"/>
      </w:pPr>
      <w:rPr>
        <w:u w:val="none"/>
      </w:rPr>
    </w:lvl>
    <w:lvl w:ilvl="3">
      <w:start w:val="1"/>
      <w:numFmt w:val="decimal"/>
      <w:lvlText w:val="%4."/>
      <w:lvlJc w:val="left"/>
      <w:pPr>
        <w:ind w:left="3644" w:hanging="360"/>
      </w:pPr>
      <w:rPr>
        <w:u w:val="none"/>
      </w:rPr>
    </w:lvl>
    <w:lvl w:ilvl="4">
      <w:start w:val="1"/>
      <w:numFmt w:val="lowerLetter"/>
      <w:lvlText w:val="%5."/>
      <w:lvlJc w:val="left"/>
      <w:pPr>
        <w:ind w:left="4364" w:hanging="360"/>
      </w:pPr>
      <w:rPr>
        <w:u w:val="none"/>
      </w:rPr>
    </w:lvl>
    <w:lvl w:ilvl="5">
      <w:start w:val="1"/>
      <w:numFmt w:val="lowerRoman"/>
      <w:lvlText w:val="%6."/>
      <w:lvlJc w:val="right"/>
      <w:pPr>
        <w:ind w:left="5084" w:hanging="180"/>
      </w:pPr>
      <w:rPr>
        <w:u w:val="none"/>
      </w:rPr>
    </w:lvl>
    <w:lvl w:ilvl="6">
      <w:start w:val="1"/>
      <w:numFmt w:val="decimal"/>
      <w:lvlText w:val="%7."/>
      <w:lvlJc w:val="left"/>
      <w:pPr>
        <w:ind w:left="5804" w:hanging="360"/>
      </w:pPr>
      <w:rPr>
        <w:u w:val="none"/>
      </w:rPr>
    </w:lvl>
    <w:lvl w:ilvl="7">
      <w:start w:val="1"/>
      <w:numFmt w:val="lowerLetter"/>
      <w:lvlText w:val="%8."/>
      <w:lvlJc w:val="left"/>
      <w:pPr>
        <w:ind w:left="6524" w:hanging="360"/>
      </w:pPr>
      <w:rPr>
        <w:u w:val="none"/>
      </w:rPr>
    </w:lvl>
    <w:lvl w:ilvl="8">
      <w:start w:val="1"/>
      <w:numFmt w:val="lowerRoman"/>
      <w:lvlText w:val="%9."/>
      <w:lvlJc w:val="right"/>
      <w:pPr>
        <w:ind w:left="7244" w:hanging="180"/>
      </w:pPr>
      <w:rPr>
        <w:u w:val="none"/>
      </w:rPr>
    </w:lvl>
  </w:abstractNum>
  <w:abstractNum w:abstractNumId="21">
    <w:lvl w:ilvl="0">
      <w:start w:val="1"/>
      <w:numFmt w:val="lowerLetter"/>
      <w:lvlText w:val="%1)"/>
      <w:lvlJc w:val="left"/>
      <w:pPr>
        <w:ind w:left="1637" w:hanging="360"/>
      </w:pPr>
      <w:rPr>
        <w:u w:val="none"/>
      </w:rPr>
    </w:lvl>
    <w:lvl w:ilvl="1">
      <w:start w:val="1"/>
      <w:numFmt w:val="lowerLetter"/>
      <w:lvlText w:val="%2."/>
      <w:lvlJc w:val="left"/>
      <w:pPr>
        <w:ind w:left="2357" w:hanging="360"/>
      </w:pPr>
      <w:rPr>
        <w:u w:val="none"/>
      </w:rPr>
    </w:lvl>
    <w:lvl w:ilvl="2">
      <w:start w:val="1"/>
      <w:numFmt w:val="lowerRoman"/>
      <w:lvlText w:val="%3."/>
      <w:lvlJc w:val="right"/>
      <w:pPr>
        <w:ind w:left="3077" w:hanging="180"/>
      </w:pPr>
      <w:rPr>
        <w:u w:val="none"/>
      </w:rPr>
    </w:lvl>
    <w:lvl w:ilvl="3">
      <w:start w:val="1"/>
      <w:numFmt w:val="decimal"/>
      <w:lvlText w:val="%4."/>
      <w:lvlJc w:val="left"/>
      <w:pPr>
        <w:ind w:left="3797" w:hanging="360"/>
      </w:pPr>
      <w:rPr>
        <w:u w:val="none"/>
      </w:rPr>
    </w:lvl>
    <w:lvl w:ilvl="4">
      <w:start w:val="1"/>
      <w:numFmt w:val="lowerLetter"/>
      <w:lvlText w:val="%5."/>
      <w:lvlJc w:val="left"/>
      <w:pPr>
        <w:ind w:left="4517" w:hanging="360"/>
      </w:pPr>
      <w:rPr>
        <w:u w:val="none"/>
      </w:rPr>
    </w:lvl>
    <w:lvl w:ilvl="5">
      <w:start w:val="1"/>
      <w:numFmt w:val="lowerRoman"/>
      <w:lvlText w:val="%6."/>
      <w:lvlJc w:val="right"/>
      <w:pPr>
        <w:ind w:left="5237" w:hanging="180"/>
      </w:pPr>
      <w:rPr>
        <w:u w:val="none"/>
      </w:rPr>
    </w:lvl>
    <w:lvl w:ilvl="6">
      <w:start w:val="1"/>
      <w:numFmt w:val="decimal"/>
      <w:lvlText w:val="%7."/>
      <w:lvlJc w:val="left"/>
      <w:pPr>
        <w:ind w:left="5957" w:hanging="360"/>
      </w:pPr>
      <w:rPr>
        <w:u w:val="none"/>
      </w:rPr>
    </w:lvl>
    <w:lvl w:ilvl="7">
      <w:start w:val="1"/>
      <w:numFmt w:val="lowerLetter"/>
      <w:lvlText w:val="%8."/>
      <w:lvlJc w:val="left"/>
      <w:pPr>
        <w:ind w:left="6677" w:hanging="360"/>
      </w:pPr>
      <w:rPr>
        <w:u w:val="none"/>
      </w:rPr>
    </w:lvl>
    <w:lvl w:ilvl="8">
      <w:start w:val="1"/>
      <w:numFmt w:val="lowerRoman"/>
      <w:lvlText w:val="%9."/>
      <w:lvlJc w:val="right"/>
      <w:pPr>
        <w:ind w:left="7397"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ind w:left="3196" w:right="3670"/>
      <w:jc w:val="center"/>
    </w:pPr>
    <w:rPr>
      <w:b w:val="1"/>
      <w:bCs w:val="1"/>
      <w:sz w:val="44"/>
      <w:szCs w:val="44"/>
      <w:u w:color="000000" w:val="single"/>
    </w:rPr>
  </w:style>
  <w:style w:type="paragraph" w:styleId="ListParagraph">
    <w:name w:val="List Paragraph"/>
    <w:basedOn w:val="Normal"/>
    <w:qFormat w:val="1"/>
    <w:pPr>
      <w:spacing w:line="242" w:lineRule="exact"/>
      <w:ind w:left="3584" w:hanging="21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2B3427"/>
    <w:pPr>
      <w:tabs>
        <w:tab w:val="center" w:pos="4513"/>
        <w:tab w:val="right" w:pos="9026"/>
      </w:tabs>
    </w:pPr>
  </w:style>
  <w:style w:type="character" w:styleId="HeaderChar" w:customStyle="1">
    <w:name w:val="Header Char"/>
    <w:basedOn w:val="DefaultParagraphFont"/>
    <w:link w:val="Header"/>
    <w:uiPriority w:val="99"/>
    <w:rsid w:val="002B3427"/>
    <w:rPr>
      <w:rFonts w:ascii="Calibri" w:cs="Calibri" w:eastAsia="Calibri" w:hAnsi="Calibri"/>
    </w:rPr>
  </w:style>
  <w:style w:type="paragraph" w:styleId="Footer">
    <w:name w:val="footer"/>
    <w:basedOn w:val="Normal"/>
    <w:link w:val="FooterChar"/>
    <w:uiPriority w:val="99"/>
    <w:unhideWhenUsed w:val="1"/>
    <w:rsid w:val="002B3427"/>
    <w:pPr>
      <w:tabs>
        <w:tab w:val="center" w:pos="4513"/>
        <w:tab w:val="right" w:pos="9026"/>
      </w:tabs>
    </w:pPr>
  </w:style>
  <w:style w:type="character" w:styleId="FooterChar" w:customStyle="1">
    <w:name w:val="Footer Char"/>
    <w:basedOn w:val="DefaultParagraphFont"/>
    <w:link w:val="Footer"/>
    <w:uiPriority w:val="99"/>
    <w:rsid w:val="002B3427"/>
    <w:rPr>
      <w:rFonts w:ascii="Calibri" w:cs="Calibri" w:eastAsia="Calibri" w:hAnsi="Calibri"/>
    </w:rPr>
  </w:style>
  <w:style w:type="character" w:styleId="Hyperlink">
    <w:name w:val="Hyperlink"/>
    <w:basedOn w:val="DefaultParagraphFont"/>
    <w:uiPriority w:val="99"/>
    <w:unhideWhenUsed w:val="1"/>
    <w:rsid w:val="00544126"/>
    <w:rPr>
      <w:color w:val="0000ff" w:themeColor="hyperlink"/>
      <w:u w:val="single"/>
    </w:rPr>
  </w:style>
  <w:style w:type="character" w:styleId="UnresolvedMention">
    <w:name w:val="Unresolved Mention"/>
    <w:basedOn w:val="DefaultParagraphFont"/>
    <w:uiPriority w:val="99"/>
    <w:semiHidden w:val="1"/>
    <w:unhideWhenUsed w:val="1"/>
    <w:rsid w:val="00544126"/>
    <w:rPr>
      <w:color w:val="605e5c"/>
      <w:shd w:color="auto" w:fill="e1dfdd" w:val="clear"/>
    </w:rPr>
  </w:style>
  <w:style w:type="table" w:styleId="TableGrid">
    <w:name w:val="Table Grid"/>
    <w:basedOn w:val="TableNormal"/>
    <w:uiPriority w:val="39"/>
    <w:rsid w:val="0054412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643BE"/>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oh4e8D++/jjX0ttp3IuvxcyUwA==">CgMxLjAyCGguZ2pkZ3hzOAByITFYVVRNM25ENE4xZmx1UlZlVFpXYjZ2Y2YzN2YyUXp5ZQ==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2025-01-21T10:44:00Z</dcterms:created>
  <dc:creator>M&amp;M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2021</vt:lpwstr>
  </property>
  <property fmtid="{D5CDD505-2E9C-101B-9397-08002B2CF9AE}" pid="4" name="LastSaved">
    <vt:filetime>2023-10-09T00:00:00Z</vt:filetime>
  </property>
</Properties>
</file>